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D8ED" w14:textId="77777777" w:rsidR="00D565C2" w:rsidRDefault="007420E5" w:rsidP="00D565C2">
      <w:pPr>
        <w:jc w:val="both"/>
        <w:rPr>
          <w:rFonts w:ascii="Times New Roman" w:hAnsi="Times New Roman" w:cs="Times New Roman"/>
          <w:b/>
        </w:rPr>
      </w:pPr>
      <w:r>
        <w:rPr>
          <w:rFonts w:ascii="Times New Roman" w:hAnsi="Times New Roman" w:cs="Times New Roman"/>
          <w:b/>
        </w:rPr>
        <w:t>Corte di Giustizia UE</w:t>
      </w:r>
      <w:r w:rsidR="00D565C2">
        <w:rPr>
          <w:rFonts w:ascii="Times New Roman" w:hAnsi="Times New Roman" w:cs="Times New Roman"/>
          <w:b/>
        </w:rPr>
        <w:t xml:space="preserve">,  n. </w:t>
      </w:r>
      <w:r>
        <w:rPr>
          <w:rFonts w:ascii="Times New Roman" w:hAnsi="Times New Roman" w:cs="Times New Roman"/>
          <w:b/>
        </w:rPr>
        <w:t>C-535/15</w:t>
      </w:r>
      <w:r w:rsidR="00D565C2">
        <w:rPr>
          <w:rFonts w:ascii="Times New Roman" w:hAnsi="Times New Roman" w:cs="Times New Roman"/>
          <w:b/>
        </w:rPr>
        <w:t xml:space="preserve"> del </w:t>
      </w:r>
      <w:r>
        <w:rPr>
          <w:rFonts w:ascii="Times New Roman" w:hAnsi="Times New Roman" w:cs="Times New Roman"/>
          <w:b/>
        </w:rPr>
        <w:t xml:space="preserve">27/4/2017 </w:t>
      </w:r>
    </w:p>
    <w:p w14:paraId="3DBBE692" w14:textId="77777777" w:rsidR="00D565C2" w:rsidRDefault="00D565C2" w:rsidP="00D565C2">
      <w:pPr>
        <w:jc w:val="both"/>
        <w:rPr>
          <w:rFonts w:ascii="Times New Roman" w:hAnsi="Times New Roman" w:cs="Times New Roman"/>
          <w:b/>
        </w:rPr>
      </w:pPr>
    </w:p>
    <w:p w14:paraId="6C894D39" w14:textId="260D6F08" w:rsidR="00D565C2" w:rsidRDefault="007420E5" w:rsidP="00D565C2">
      <w:pPr>
        <w:jc w:val="both"/>
        <w:rPr>
          <w:rFonts w:ascii="Times New Roman" w:hAnsi="Times New Roman" w:cs="Times New Roman"/>
        </w:rPr>
      </w:pPr>
      <w:r>
        <w:rPr>
          <w:rFonts w:ascii="Times New Roman" w:hAnsi="Times New Roman" w:cs="Times New Roman"/>
          <w:b/>
        </w:rPr>
        <w:t>SOSTANZE PERICOLOSE</w:t>
      </w:r>
      <w:r w:rsidR="00D565C2">
        <w:rPr>
          <w:rFonts w:ascii="Times New Roman" w:hAnsi="Times New Roman" w:cs="Times New Roman"/>
          <w:b/>
        </w:rPr>
        <w:t xml:space="preserve"> </w:t>
      </w:r>
      <w:r w:rsidR="00D565C2">
        <w:rPr>
          <w:rFonts w:ascii="Times New Roman" w:hAnsi="Times New Roman" w:cs="Times New Roman"/>
        </w:rPr>
        <w:t xml:space="preserve">– </w:t>
      </w:r>
      <w:r w:rsidR="007E1819">
        <w:rPr>
          <w:rFonts w:ascii="Times New Roman" w:hAnsi="Times New Roman" w:cs="Times New Roman"/>
        </w:rPr>
        <w:t xml:space="preserve">Reg. REACH: sostanze importate </w:t>
      </w:r>
      <w:r w:rsidR="00717168">
        <w:rPr>
          <w:rFonts w:ascii="Times New Roman" w:hAnsi="Times New Roman" w:cs="Times New Roman"/>
        </w:rPr>
        <w:t xml:space="preserve">nell’UE </w:t>
      </w:r>
      <w:r w:rsidR="007E1819">
        <w:rPr>
          <w:rFonts w:ascii="Times New Roman" w:hAnsi="Times New Roman" w:cs="Times New Roman"/>
        </w:rPr>
        <w:t>senza registrazione possono essere esportate?</w:t>
      </w:r>
    </w:p>
    <w:p w14:paraId="6A6469E8" w14:textId="77777777" w:rsidR="00D565C2" w:rsidRDefault="00D565C2" w:rsidP="00D565C2">
      <w:pPr>
        <w:jc w:val="both"/>
        <w:rPr>
          <w:rFonts w:ascii="Times New Roman" w:hAnsi="Times New Roman" w:cs="Times New Roman"/>
        </w:rPr>
      </w:pPr>
    </w:p>
    <w:p w14:paraId="3819FAA1" w14:textId="1EFE716B" w:rsidR="008D3DDF" w:rsidRPr="005439DF" w:rsidRDefault="00332CFF" w:rsidP="00332CFF">
      <w:pPr>
        <w:jc w:val="both"/>
        <w:rPr>
          <w:rFonts w:ascii="Times New Roman" w:hAnsi="Times New Roman" w:cs="Times New Roman"/>
          <w:bCs/>
          <w:i/>
          <w:color w:val="333333"/>
        </w:rPr>
      </w:pPr>
      <w:r w:rsidRPr="008D3DDF">
        <w:rPr>
          <w:rFonts w:ascii="Times New Roman" w:hAnsi="Times New Roman" w:cs="Times New Roman"/>
          <w:bCs/>
          <w:i/>
          <w:color w:val="333333"/>
        </w:rPr>
        <w:t>L’articolo 5 del regolamento REACH, in combinato disposto con l’articolo 3, punto 12, del medesimo, deve essere interpretato nel senso che sostanze che al momento della loro importazione nel territorio dell’Unione europea non sono state registrate conformemente al suddetto regolamento, possono essere esp</w:t>
      </w:r>
      <w:r w:rsidR="005439DF">
        <w:rPr>
          <w:rFonts w:ascii="Times New Roman" w:hAnsi="Times New Roman" w:cs="Times New Roman"/>
          <w:bCs/>
          <w:i/>
          <w:color w:val="333333"/>
        </w:rPr>
        <w:t xml:space="preserve">ortate fuori da tale territorio </w:t>
      </w:r>
      <w:r w:rsidR="008D3DDF" w:rsidRPr="007E1819">
        <w:rPr>
          <w:rFonts w:ascii="Times New Roman" w:eastAsia="Times New Roman" w:hAnsi="Times New Roman" w:cs="Times New Roman"/>
          <w:i/>
        </w:rPr>
        <w:t xml:space="preserve">(la questione è stata sollevata dalla Corte amministrativa federale tedesca </w:t>
      </w:r>
      <w:r w:rsidR="007E1819">
        <w:rPr>
          <w:rFonts w:ascii="Times New Roman" w:eastAsia="Times New Roman" w:hAnsi="Times New Roman" w:cs="Times New Roman"/>
          <w:i/>
        </w:rPr>
        <w:t>in occasione di un</w:t>
      </w:r>
      <w:r w:rsidR="008D3DDF" w:rsidRPr="007E1819">
        <w:rPr>
          <w:rFonts w:ascii="Times New Roman" w:eastAsia="Times New Roman" w:hAnsi="Times New Roman" w:cs="Times New Roman"/>
          <w:i/>
        </w:rPr>
        <w:t xml:space="preserve"> contenzioso am</w:t>
      </w:r>
      <w:r w:rsidR="007E1819" w:rsidRPr="007E1819">
        <w:rPr>
          <w:rFonts w:ascii="Times New Roman" w:eastAsia="Times New Roman" w:hAnsi="Times New Roman" w:cs="Times New Roman"/>
          <w:i/>
        </w:rPr>
        <w:t xml:space="preserve">ministrativo tra un privato, che dopo aver </w:t>
      </w:r>
      <w:r w:rsidR="008D3DDF" w:rsidRPr="007E1819">
        <w:rPr>
          <w:rFonts w:ascii="Times New Roman" w:eastAsia="Times New Roman" w:hAnsi="Times New Roman" w:cs="Times New Roman"/>
          <w:i/>
        </w:rPr>
        <w:t xml:space="preserve"> </w:t>
      </w:r>
      <w:r w:rsidR="007E1819" w:rsidRPr="007E1819">
        <w:rPr>
          <w:rFonts w:ascii="Times New Roman" w:eastAsia="Times New Roman" w:hAnsi="Times New Roman" w:cs="Times New Roman"/>
          <w:i/>
        </w:rPr>
        <w:t>importato dalla Cina solfato di nicotina senza alcuna registrazione ha richiesto l’autorizzazione ad esportare tale prodotto in Russia, e la città di Amburgo, che ha respinto detta autorizzazione)</w:t>
      </w:r>
      <w:r w:rsidR="00717168">
        <w:rPr>
          <w:rFonts w:ascii="Times New Roman" w:eastAsia="Times New Roman" w:hAnsi="Times New Roman" w:cs="Times New Roman"/>
          <w:i/>
        </w:rPr>
        <w:t>.</w:t>
      </w:r>
    </w:p>
    <w:p w14:paraId="63225B6B" w14:textId="77777777" w:rsidR="008D3DDF" w:rsidRPr="00D565C2" w:rsidRDefault="008D3DDF" w:rsidP="00332CFF">
      <w:pPr>
        <w:jc w:val="both"/>
        <w:rPr>
          <w:rFonts w:ascii="Times New Roman" w:eastAsia="Times New Roman" w:hAnsi="Times New Roman" w:cs="Times New Roman"/>
        </w:rPr>
      </w:pPr>
    </w:p>
    <w:p w14:paraId="3B12D1E1" w14:textId="77777777" w:rsidR="00D565C2" w:rsidRPr="00D565C2" w:rsidRDefault="00D565C2" w:rsidP="00D565C2">
      <w:pPr>
        <w:jc w:val="both"/>
        <w:rPr>
          <w:rFonts w:ascii="Times New Roman" w:hAnsi="Times New Roman" w:cs="Times New Roman"/>
        </w:rPr>
      </w:pPr>
      <w:r w:rsidRPr="00D565C2">
        <w:rPr>
          <w:rFonts w:ascii="Times New Roman" w:hAnsi="Times New Roman" w:cs="Times New Roman"/>
          <w:b/>
          <w:bCs/>
          <w:color w:val="333333"/>
        </w:rPr>
        <w:t>Sentenza</w:t>
      </w:r>
    </w:p>
    <w:p w14:paraId="19BDC468" w14:textId="34D1529D" w:rsidR="00D565C2" w:rsidRDefault="00D565C2" w:rsidP="00332CFF">
      <w:pPr>
        <w:ind w:left="28"/>
        <w:jc w:val="both"/>
        <w:rPr>
          <w:rFonts w:ascii="Times New Roman" w:hAnsi="Times New Roman" w:cs="Times New Roman"/>
          <w:color w:val="333333"/>
        </w:rPr>
      </w:pPr>
      <w:r>
        <w:rPr>
          <w:rFonts w:ascii="Times New Roman" w:hAnsi="Times New Roman" w:cs="Times New Roman"/>
          <w:color w:val="333333"/>
        </w:rPr>
        <w:t xml:space="preserve">1. </w:t>
      </w:r>
      <w:r w:rsidRPr="00D565C2">
        <w:rPr>
          <w:rFonts w:ascii="Times New Roman" w:hAnsi="Times New Roman" w:cs="Times New Roman"/>
          <w:color w:val="333333"/>
        </w:rPr>
        <w:t>La domanda di pronuncia pregiudiziale verte sull’interpretazione dell’articolo 5 del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2006, L 396, pag. 1, e rettifica in GU 2007, L 136, pag. 3; in prosieguo: il «regolamento REACH»).</w:t>
      </w:r>
      <w:r>
        <w:rPr>
          <w:rFonts w:ascii="Times New Roman" w:hAnsi="Times New Roman" w:cs="Times New Roman"/>
          <w:color w:val="333333"/>
        </w:rPr>
        <w:t>  </w:t>
      </w:r>
    </w:p>
    <w:p w14:paraId="20248234"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 </w:t>
      </w:r>
      <w:r w:rsidRPr="00D565C2">
        <w:rPr>
          <w:rFonts w:ascii="Times New Roman" w:hAnsi="Times New Roman" w:cs="Times New Roman"/>
          <w:color w:val="333333"/>
        </w:rPr>
        <w:t xml:space="preserve">Tale domanda è stata presentata nell’ambito di una controversia tra la </w:t>
      </w:r>
      <w:proofErr w:type="spellStart"/>
      <w:r w:rsidRPr="00D565C2">
        <w:rPr>
          <w:rFonts w:ascii="Times New Roman" w:hAnsi="Times New Roman" w:cs="Times New Roman"/>
          <w:color w:val="333333"/>
        </w:rPr>
        <w:t>Freie</w:t>
      </w:r>
      <w:proofErr w:type="spellEnd"/>
      <w:r w:rsidRPr="00D565C2">
        <w:rPr>
          <w:rFonts w:ascii="Times New Roman" w:hAnsi="Times New Roman" w:cs="Times New Roman"/>
          <w:color w:val="333333"/>
        </w:rPr>
        <w:t xml:space="preserve"> und </w:t>
      </w:r>
      <w:proofErr w:type="spellStart"/>
      <w:r w:rsidRPr="00D565C2">
        <w:rPr>
          <w:rFonts w:ascii="Times New Roman" w:hAnsi="Times New Roman" w:cs="Times New Roman"/>
          <w:color w:val="333333"/>
        </w:rPr>
        <w:t>Hansestadt</w:t>
      </w:r>
      <w:proofErr w:type="spellEnd"/>
      <w:r w:rsidRPr="00D565C2">
        <w:rPr>
          <w:rFonts w:ascii="Times New Roman" w:hAnsi="Times New Roman" w:cs="Times New Roman"/>
          <w:color w:val="333333"/>
        </w:rPr>
        <w:t xml:space="preserve"> Hamburg (libera città anseatica di Amburgo, Germania; in prosieguo: la «città di Amburgo») e il sig. </w:t>
      </w:r>
      <w:proofErr w:type="spellStart"/>
      <w:r w:rsidRPr="00D565C2">
        <w:rPr>
          <w:rFonts w:ascii="Times New Roman" w:hAnsi="Times New Roman" w:cs="Times New Roman"/>
          <w:color w:val="333333"/>
        </w:rPr>
        <w:t>Jost</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in merito all’esportazione al di fuori del territorio dell’Unione europea di sostanze chimiche importate senza essere state registrate a norma, segnatamente, dell’articolo 5 del regolamento REACH.</w:t>
      </w:r>
    </w:p>
    <w:p w14:paraId="203A25CC" w14:textId="77777777" w:rsidR="00A122C9" w:rsidRDefault="00A122C9" w:rsidP="00D565C2">
      <w:pPr>
        <w:ind w:left="28"/>
        <w:jc w:val="both"/>
        <w:rPr>
          <w:rFonts w:ascii="Times New Roman" w:hAnsi="Times New Roman" w:cs="Times New Roman"/>
          <w:b/>
          <w:bCs/>
          <w:color w:val="333333"/>
        </w:rPr>
      </w:pPr>
    </w:p>
    <w:p w14:paraId="33A3D61D" w14:textId="77777777" w:rsidR="00D565C2" w:rsidRDefault="00D565C2" w:rsidP="00D565C2">
      <w:pPr>
        <w:ind w:left="28"/>
        <w:jc w:val="both"/>
        <w:rPr>
          <w:rFonts w:ascii="Times New Roman" w:hAnsi="Times New Roman" w:cs="Times New Roman"/>
          <w:color w:val="333333"/>
        </w:rPr>
      </w:pPr>
      <w:r w:rsidRPr="00D565C2">
        <w:rPr>
          <w:rFonts w:ascii="Times New Roman" w:hAnsi="Times New Roman" w:cs="Times New Roman"/>
          <w:b/>
          <w:bCs/>
          <w:color w:val="333333"/>
        </w:rPr>
        <w:t>Contesto normativo</w:t>
      </w:r>
    </w:p>
    <w:p w14:paraId="2F59EC7B" w14:textId="71C8CF89" w:rsidR="00D565C2" w:rsidRDefault="00D565C2" w:rsidP="00D565C2">
      <w:pPr>
        <w:ind w:left="28"/>
        <w:jc w:val="both"/>
        <w:rPr>
          <w:rFonts w:ascii="Times New Roman" w:hAnsi="Times New Roman" w:cs="Times New Roman"/>
          <w:color w:val="333333"/>
        </w:rPr>
      </w:pPr>
      <w:r w:rsidRPr="00D565C2">
        <w:rPr>
          <w:rFonts w:ascii="Times New Roman" w:hAnsi="Times New Roman" w:cs="Times New Roman"/>
          <w:i/>
          <w:iCs/>
          <w:color w:val="333333"/>
        </w:rPr>
        <w:t>Diritto dell’Unione</w:t>
      </w:r>
    </w:p>
    <w:p w14:paraId="27D1EB46"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 </w:t>
      </w:r>
      <w:r w:rsidRPr="00D565C2">
        <w:rPr>
          <w:rFonts w:ascii="Times New Roman" w:hAnsi="Times New Roman" w:cs="Times New Roman"/>
          <w:color w:val="333333"/>
        </w:rPr>
        <w:t>I considerando da 1 a 3 e 7 del regolamento REACH sono così formulati: </w:t>
      </w:r>
    </w:p>
    <w:p w14:paraId="3B3BA5EF"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«(1)      Il presente regolamento dovrebbe assicurare un elevato livello di protezione della salute umana e dell’ambiente, nonché la libera circolazione delle sostanze in quanto tali o in quanto componenti di preparati e articoli, rafforzando nel contempo la competitività e l’innovazione. (...)</w:t>
      </w:r>
    </w:p>
    <w:p w14:paraId="7A59A2EE"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(2)      Il funzionamento efficace del mercato interno delle sostanze può essere ottenuto soltanto se le prescrizioni ad esse applicabili non differiscono in modo rilevante da uno Stato membro all’altro.</w:t>
      </w:r>
    </w:p>
    <w:p w14:paraId="5BCC6DE2"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(3)      Nell’attuare il ravvicinamento delle legislazioni riguardanti le sostanze occorrerebbe assicurare un elevato grado di protezione della salute umana e di tutela dell’ambiente, al fine di pervenire ad uno sviluppo sostenibile. Tali legislazioni dovrebbero essere applicate in modo non discriminatorio, sia che gli scambi commerciali delle sostanze avvengano nel mercato interno, sia che abbiano luogo a livello internazionale, in conformità agli impegni internazionali della Comunità.</w:t>
      </w:r>
    </w:p>
    <w:p w14:paraId="4CA066D2"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w:t>
      </w:r>
    </w:p>
    <w:p w14:paraId="40955976"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(7)      Al fine di preservare l’integrità del mercato interno e garantire un elevato grado di protezione della salute umana, in particolare di quella dei lavoratori, e di tutela dell’ambiente, è necessario garantire che la fabbricazione delle sostanze nella Comunità sia conforme al diritto comunitario, anche quando dette sostanze sono esportate».</w:t>
      </w:r>
    </w:p>
    <w:p w14:paraId="3C95CF2C" w14:textId="77777777" w:rsidR="00D565C2" w:rsidRPr="00D565C2" w:rsidRDefault="00D565C2" w:rsidP="00D565C2">
      <w:pPr>
        <w:jc w:val="both"/>
        <w:rPr>
          <w:rFonts w:ascii="Times New Roman" w:hAnsi="Times New Roman" w:cs="Times New Roman"/>
          <w:color w:val="006699"/>
        </w:rPr>
      </w:pPr>
      <w:r>
        <w:rPr>
          <w:rFonts w:ascii="Times New Roman" w:hAnsi="Times New Roman" w:cs="Times New Roman"/>
          <w:color w:val="333333"/>
        </w:rPr>
        <w:t xml:space="preserve">4. </w:t>
      </w:r>
      <w:r w:rsidRPr="00D565C2">
        <w:rPr>
          <w:rFonts w:ascii="Times New Roman" w:hAnsi="Times New Roman" w:cs="Times New Roman"/>
          <w:color w:val="333333"/>
        </w:rPr>
        <w:t>L’articolo 1 del regolamento in parola, intitolato «Finalità e por</w:t>
      </w:r>
      <w:r>
        <w:rPr>
          <w:rFonts w:ascii="Times New Roman" w:hAnsi="Times New Roman" w:cs="Times New Roman"/>
          <w:color w:val="333333"/>
        </w:rPr>
        <w:t xml:space="preserve">tata», al suo paragrafo 1, così </w:t>
      </w:r>
      <w:r w:rsidRPr="00D565C2">
        <w:rPr>
          <w:rFonts w:ascii="Times New Roman" w:hAnsi="Times New Roman" w:cs="Times New Roman"/>
          <w:color w:val="333333"/>
        </w:rPr>
        <w:t>dispone:</w:t>
      </w:r>
    </w:p>
    <w:p w14:paraId="5A399384"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lastRenderedPageBreak/>
        <w:t>«Il presente regolamento ha lo scopo di assicurare un elevato livello di protezione della salute umana e dell’ambiente inclusa la promozione di metodi alternativi per la valutazione dei pericoli che le sostanze comportano, nonché la libera circolazione di sostanze nel mercato interno rafforzando nel contempo la competitività e l’innovazione».      </w:t>
      </w:r>
    </w:p>
    <w:p w14:paraId="6DDD0232" w14:textId="77777777" w:rsidR="00D565C2" w:rsidRPr="00D565C2" w:rsidRDefault="00D565C2" w:rsidP="00D565C2">
      <w:pPr>
        <w:jc w:val="both"/>
        <w:rPr>
          <w:rFonts w:ascii="Times New Roman" w:hAnsi="Times New Roman" w:cs="Times New Roman"/>
          <w:color w:val="333333"/>
        </w:rPr>
      </w:pPr>
      <w:r>
        <w:rPr>
          <w:rFonts w:ascii="Times New Roman" w:hAnsi="Times New Roman" w:cs="Times New Roman"/>
          <w:color w:val="333333"/>
        </w:rPr>
        <w:t xml:space="preserve">5. </w:t>
      </w:r>
      <w:r w:rsidRPr="00D565C2">
        <w:rPr>
          <w:rFonts w:ascii="Times New Roman" w:hAnsi="Times New Roman" w:cs="Times New Roman"/>
          <w:color w:val="333333"/>
        </w:rPr>
        <w:t>L’articolo 2 del medesimo regolamento, intitolato «Ambito d’applicazione», al suo paragrafo 7, lettera c), sub i), prevede quanto segue:</w:t>
      </w:r>
    </w:p>
    <w:p w14:paraId="52AA30CC"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«Sono esentate dalle disposizioni dei titoli II, V e VI:</w:t>
      </w:r>
    </w:p>
    <w:p w14:paraId="661EED08"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w:t>
      </w:r>
    </w:p>
    <w:p w14:paraId="4B782D76"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c)      le sostanze, in quanto tali o in quanto componenti di preparati, registrate a norma del titolo II, esportate a partire dalla Comunità da un attore della catena d’approvvigionamento e reimportate nella Comunità dallo stesso o da un altro attore della stessa catena d’approvvigionamento il quale dimostri quanto segue:</w:t>
      </w:r>
    </w:p>
    <w:p w14:paraId="5C74F4BD"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i)      che la sostanza in corso di reimportazione è la stessa sostanza esportata; </w:t>
      </w:r>
    </w:p>
    <w:p w14:paraId="0DDDCD95"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        </w:t>
      </w:r>
    </w:p>
    <w:p w14:paraId="11247538" w14:textId="77777777" w:rsidR="00D565C2" w:rsidRPr="00D565C2" w:rsidRDefault="00D565C2" w:rsidP="00D565C2">
      <w:pPr>
        <w:ind w:left="567" w:hanging="539"/>
        <w:jc w:val="both"/>
        <w:rPr>
          <w:rFonts w:ascii="Times New Roman" w:hAnsi="Times New Roman" w:cs="Times New Roman"/>
          <w:color w:val="333333"/>
        </w:rPr>
      </w:pPr>
      <w:r>
        <w:rPr>
          <w:rFonts w:ascii="Times New Roman" w:hAnsi="Times New Roman" w:cs="Times New Roman"/>
          <w:color w:val="333333"/>
        </w:rPr>
        <w:t xml:space="preserve">6. </w:t>
      </w:r>
      <w:r w:rsidRPr="00D565C2">
        <w:rPr>
          <w:rFonts w:ascii="Times New Roman" w:hAnsi="Times New Roman" w:cs="Times New Roman"/>
          <w:color w:val="333333"/>
        </w:rPr>
        <w:t>L’articolo 3 del regolamento REACH intitolato «Definizioni», è del seguente tenore:</w:t>
      </w:r>
    </w:p>
    <w:p w14:paraId="3EB19FA3"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«Ai fini del presente regolamento, si intende per:</w:t>
      </w:r>
    </w:p>
    <w:p w14:paraId="3F461631"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w:t>
      </w:r>
    </w:p>
    <w:p w14:paraId="7ECE37CE"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9)      fabbricante: ogni persona fisica o giuridica stabilita nella Comunità che fabbrica una sostanza all’interno della Comunità;</w:t>
      </w:r>
    </w:p>
    <w:p w14:paraId="483FCA27"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10)      importazione: l’introduzione fisica nel territorio doganale della Comunità;</w:t>
      </w:r>
    </w:p>
    <w:p w14:paraId="523B1ECC"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11)      importatore: ogni persona fisica o giuridica stabilita nella Comunità responsabile dell’importazione;</w:t>
      </w:r>
    </w:p>
    <w:p w14:paraId="41194FC7"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12)      immissione sul mercato: l’offerta o la messa a disposizione di terzi, contro pagamento o gratuita. L’importazione è considerata un’immissione sul mercato;</w:t>
      </w:r>
    </w:p>
    <w:p w14:paraId="03164CB4"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w:t>
      </w:r>
    </w:p>
    <w:p w14:paraId="09894CD7"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21)      sostanza notificata: una sostanza per la quale è stata presentata una notifica e che potrebbe essere immessa sul mercato a norma della direttiva 67/548/CEE [del Consiglio, del 27 giugno 1967, concernente il ravvicinamento delle disposizioni legislative, regolamentari ed amministrative relative alla classificazione, all’imballaggio e all’etichettatura delle sostanze pericolose (GU 1967, L 196, pag. 1)]».     </w:t>
      </w:r>
    </w:p>
    <w:p w14:paraId="73559777"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7. </w:t>
      </w:r>
      <w:r w:rsidRPr="00D565C2">
        <w:rPr>
          <w:rFonts w:ascii="Times New Roman" w:hAnsi="Times New Roman" w:cs="Times New Roman"/>
          <w:color w:val="333333"/>
        </w:rPr>
        <w:t>A norma dell’articolo 5 del regolamento di cui trattasi, intitolato «Commercializzazione solo previa disponibilità dei dati (“no data, no market”):</w:t>
      </w:r>
    </w:p>
    <w:p w14:paraId="35A0AC61"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«Fatti salvi gli articoli 6, 7, 21 e 23, le sostanze in quanto tali o in quanto componenti di un preparato o di un articolo non sono fabbricate nella Comunità o immesse sul mercato a meno che siano state registrate, ove richiesto, a norma delle pertinenti disposizioni del presente titolo».</w:t>
      </w:r>
    </w:p>
    <w:p w14:paraId="7001CF0A"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8. </w:t>
      </w:r>
      <w:r w:rsidRPr="00D565C2">
        <w:rPr>
          <w:rFonts w:ascii="Times New Roman" w:hAnsi="Times New Roman" w:cs="Times New Roman"/>
          <w:color w:val="333333"/>
        </w:rPr>
        <w:t>L’articolo 6 del suddetto regolamento, intitolato «Obbligo generale di registrazione delle sostanze in quanto tali o in quanto componenti di preparati», al suo paragrafo 1, recita: </w:t>
      </w:r>
    </w:p>
    <w:p w14:paraId="1070AF9E"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«Salvo altrimenti disposto dal presente regolamento, qualsiasi fabbricante o importatore di una sostanza in quanto tale o in quanto componente di uno o più preparati in quantitativi pari o superiori a 1 tonnellata all’anno presenta una registrazione all’[Agenzia europea delle sostanze chimiche (in prosieguo: l’“agenzia”)]».       </w:t>
      </w:r>
    </w:p>
    <w:p w14:paraId="4E0DF2F9"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9. </w:t>
      </w:r>
      <w:r w:rsidRPr="00D565C2">
        <w:rPr>
          <w:rFonts w:ascii="Times New Roman" w:hAnsi="Times New Roman" w:cs="Times New Roman"/>
          <w:color w:val="333333"/>
        </w:rPr>
        <w:t>L’articolo 7 del regolamento REACH, intitolato «Registrazione e notifica delle sostanze contenute in articoli», al suo paragrafo 1, prevede quanto segue:</w:t>
      </w:r>
    </w:p>
    <w:p w14:paraId="082F2B9A"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«Ogni produttore o importatore di articoli presenta una registrazione all’agenzia per ogni sostanza contenuta in tali articoli, se sono soddisfatte le due seguenti condizioni:</w:t>
      </w:r>
    </w:p>
    <w:p w14:paraId="14A87110"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a)      la sostanza è contenuta in tali articoli in quantitativi superiori ad 1 tonnellata all’anno per produttore o importatore;</w:t>
      </w:r>
    </w:p>
    <w:p w14:paraId="1D063C8B"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b)      la sostanza è destinata a essere rilasciata in condizioni d’uso normali o ragionevolmente prevedibili.</w:t>
      </w:r>
    </w:p>
    <w:p w14:paraId="134D7026"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La domanda di registrazione è accompagnata dal pagamento della tariffa richiesta a norma del titolo IX».    </w:t>
      </w:r>
    </w:p>
    <w:p w14:paraId="1CD41881"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10. </w:t>
      </w:r>
      <w:r w:rsidRPr="00D565C2">
        <w:rPr>
          <w:rFonts w:ascii="Times New Roman" w:hAnsi="Times New Roman" w:cs="Times New Roman"/>
          <w:color w:val="333333"/>
        </w:rPr>
        <w:t>L’articolo 21 del regolamento in parola, intitolato «Fabbricazione e importazione di sostanze», al suo paragrafo 1, così dispone:</w:t>
      </w:r>
    </w:p>
    <w:p w14:paraId="0FBCD745"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«Un dichiarante può avviare o continuare la fabbricazione o l’importazione di una sostanza o la produzione o l’importazione di un articolo in mancanza di indicazione contraria dell’agenzia a norma dell’articolo 20, paragrafo 2 entro le tre settimane successive alla data di presentazione, fatto salvo l’articolo 27, paragrafo 8.</w:t>
      </w:r>
    </w:p>
    <w:p w14:paraId="5A9B33B4"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In caso di registrazioni di sostanze soggette a un regime transitorio, tale dichiarante può continuare la fabbricazione o l’importazione della sostanza o la produzione o l’importazione di un articolo, in mancanza di indicazione contraria dell’agenzia a norma dell’articolo 20, paragrafo 2 entro le tre settimane successive alla data di presentazione o, in caso di presentazione entro i due mesi precedenti il pertinente termine di cui all’articolo 23, in mancanza di indicazione contraria dell’agenzia a norma dell’articolo 20, paragrafo 2 entro i tre mesi che decorrono da tale termine, fatto salvo l’articolo 27, paragrafo 8.</w:t>
      </w:r>
    </w:p>
    <w:p w14:paraId="0F1B5EBB"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Se una registrazione è aggiornata a norma dell’articolo 22 il dichiarante può continuare la fabbricazione o l’importazione della sostanza, oppure la produzione o l’importazione dell’articolo, in mancanza di indicazione contraria dell’agenzia a norma dell’articolo 20, paragrafo 2 entro le tre settimane successive alla data di aggiornamento, fatto salvo l’articolo 27, paragrafo 8».    </w:t>
      </w:r>
    </w:p>
    <w:p w14:paraId="280DD359"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11. </w:t>
      </w:r>
      <w:r w:rsidRPr="00D565C2">
        <w:rPr>
          <w:rFonts w:ascii="Times New Roman" w:hAnsi="Times New Roman" w:cs="Times New Roman"/>
          <w:color w:val="333333"/>
        </w:rPr>
        <w:t>L’articolo 23 del regolamento di cui trattasi, intitolato «Disposizioni specifiche per le sostanze soggette a un regime transitorio», è redatto nei seguenti termini:</w:t>
      </w:r>
    </w:p>
    <w:p w14:paraId="3571C5A4"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«1.      L’articolo 5, l’articolo 6, paragrafo 1, l’articolo 7, paragrafo 1, l’articolo 17, l’articolo 18 e l’articolo 21 non si applicano fino al 1° dicembre 2010 alle seguenti sostanze:</w:t>
      </w:r>
    </w:p>
    <w:p w14:paraId="68B7E2EB"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a)      le sostanze soggette a un regime transitorio classificate come cancerogene, mutagene o tossiche per la riproduzione (...) e fabbricate nella Comunità o importate, in quantitativi pari o superiori ad 1 tonnellata all’anno per fabbricante o importatore, almeno una volta dopo il 1° giugno 2007;</w:t>
      </w:r>
    </w:p>
    <w:p w14:paraId="71893001"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b)      le sostanze soggette a un regime transitorio classificate come sostanze altamente tossiche per gli organismi acquatici, che possono provocare effetti a lungo termine negativi per l’ambiente acquatico (...), fabbricate nella Comunità o importate in quantitativi pari o superiori a 100 tonnellate all’anno per fabbricante o importatore, almeno una volta dopo il 1° giugno 2007;</w:t>
      </w:r>
    </w:p>
    <w:p w14:paraId="37038003"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c)      le sostanze soggette a un regime transitorio fabbricate nella Comunità o importate, in quantitativi pari o superiori a 1 000 tonnellate all’anno per fabbricante o importatore, almeno una volta dopo il 1° giugno 2007.</w:t>
      </w:r>
    </w:p>
    <w:p w14:paraId="1C52D16D"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2.      L’articolo 5, l’articolo 6, l’articolo 7, paragrafo 1, l’articolo 17, l’articolo 18 e l’articolo 21 non si applicano fino al 1° giugno 2013 alle sostanze soggette a un regime transitorio fabbricate nella Comunità o importate, in quantitativi pari o superiori a 100 tonnellate all’anno per fabbricante o importatore, almeno una volta dopo il 1° giugno 2007.</w:t>
      </w:r>
    </w:p>
    <w:p w14:paraId="30391060"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3.      (...) fino al 1° giugno 2018 (...)</w:t>
      </w:r>
    </w:p>
    <w:p w14:paraId="1835FB2F"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4.      Fatti salvi i paragrafi da 1 a 3, una registrazione può essere presentata in qualsiasi momento prima del relativo termine.</w:t>
      </w:r>
    </w:p>
    <w:p w14:paraId="69F1F86A"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5.      Il presente articolo si applica, con gli opportuni adeguamenti, anche alle sostanze registrate a norma dell’articolo 7».     </w:t>
      </w:r>
    </w:p>
    <w:p w14:paraId="02D3D925"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12. </w:t>
      </w:r>
      <w:r w:rsidRPr="00D565C2">
        <w:rPr>
          <w:rFonts w:ascii="Times New Roman" w:hAnsi="Times New Roman" w:cs="Times New Roman"/>
          <w:color w:val="333333"/>
        </w:rPr>
        <w:t>Ai sensi dell’articolo 28 del regolamento REACH, intitolato «Obbligo di registrazione preliminare per le sostanze soggette a un regime transitorio»:</w:t>
      </w:r>
    </w:p>
    <w:p w14:paraId="143E23BB"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«1.      Per usufruire del regime transitorio di cui all’articolo 23, ogni dichiarante potenziale di una sostanza soggetta a un regime transitorio in quantitativi pari o superiori a 1 tonnellata all’anno, incluse senza limitazione le sostanze intermedie, trasmette le seguenti informazioni all’agenzia:</w:t>
      </w:r>
    </w:p>
    <w:p w14:paraId="2EED74C2"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w:t>
      </w:r>
    </w:p>
    <w:p w14:paraId="66A50D51"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2.      Le informazioni di cui al paragrafo 1 sono trasmesse entro un termine compreso tra il 1° giugno 2008 e il 1° dicembre 2008. </w:t>
      </w:r>
    </w:p>
    <w:p w14:paraId="64FCCA45"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3.      I dichiaranti che non trasmettono le informazioni di cui al paragrafo 1 non possono invocare l’articolo 23.</w:t>
      </w:r>
    </w:p>
    <w:p w14:paraId="50E89DD8"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      </w:t>
      </w:r>
    </w:p>
    <w:p w14:paraId="06FC4D13"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13. </w:t>
      </w:r>
      <w:r w:rsidRPr="00D565C2">
        <w:rPr>
          <w:rFonts w:ascii="Times New Roman" w:hAnsi="Times New Roman" w:cs="Times New Roman"/>
          <w:color w:val="333333"/>
        </w:rPr>
        <w:t>L’articolo 31 di tale regolamento, intitolato «Prescrizioni relative alle schede di dati di sicurezza», al suo paragrafo 5, così dispone:</w:t>
      </w:r>
    </w:p>
    <w:p w14:paraId="18259112"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«La scheda di dati di sicurezza è fornita nelle lingue ufficiali degli Stati membri sul cui mercato la sostanza o il preparato sono immessi, salvo qualora lo Stato membro o gli Stati membri in questione dispongano diversamente».      </w:t>
      </w:r>
    </w:p>
    <w:p w14:paraId="743B17BC"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14. </w:t>
      </w:r>
      <w:r w:rsidRPr="00D565C2">
        <w:rPr>
          <w:rFonts w:ascii="Times New Roman" w:hAnsi="Times New Roman" w:cs="Times New Roman"/>
          <w:color w:val="333333"/>
        </w:rPr>
        <w:t>L’articolo 112 del regolamento di cui trattasi, intitolato «Ambito d’applicazione», contenuto nel titolo XI del medesimo, denominato «Inventario delle classificazioni e delle etichettature», prevede quanto segue:</w:t>
      </w:r>
    </w:p>
    <w:p w14:paraId="1A0A69FB"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«Il presente titolo si applica alle seguenti sostanze:</w:t>
      </w:r>
    </w:p>
    <w:p w14:paraId="1C907E34"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w:t>
      </w:r>
    </w:p>
    <w:p w14:paraId="6E465752"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b)      le sostanze che rientrano nell’ambito d’applicazione dell’articolo 1 della direttiva 67/548/CEE, classificate come sostanze pericolose in base ai criteri fissati da tale direttiva e che sono immesse sul mercato in quanto tali o in quanto componenti di un preparato in concentrazioni superiori ai limiti fissati dalla direttiva 1999/45/CE, ove pertinente, oltre i quali il preparato è classificato come pericoloso».    </w:t>
      </w:r>
    </w:p>
    <w:p w14:paraId="1B90DB1A"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15. </w:t>
      </w:r>
      <w:r w:rsidRPr="00D565C2">
        <w:rPr>
          <w:rFonts w:ascii="Times New Roman" w:hAnsi="Times New Roman" w:cs="Times New Roman"/>
          <w:color w:val="333333"/>
        </w:rPr>
        <w:t>A termini dell’articolo 126 del regolamento REACH, intitolato «Sanzioni in caso di inadempimento»:</w:t>
      </w:r>
    </w:p>
    <w:p w14:paraId="1F324718"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«Gli Stati membri emanano le disposizioni relative alle sanzioni da irrogare in caso di violazione delle disposizioni del presente regolamento e adottano tutte le misure necessarie per assicurarne l’applicazione. Le sanzioni devono essere effettive, proporzionate e dissuasive. (...)».      </w:t>
      </w:r>
    </w:p>
    <w:p w14:paraId="66DE249B"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16. </w:t>
      </w:r>
      <w:r w:rsidRPr="00D565C2">
        <w:rPr>
          <w:rFonts w:ascii="Times New Roman" w:hAnsi="Times New Roman" w:cs="Times New Roman"/>
          <w:color w:val="333333"/>
        </w:rPr>
        <w:t>L’articolo 129 del medesimo regolamento, intitolato «Clausola di salvaguardia», ai suoi paragrafi 2 e 3, così dispone: </w:t>
      </w:r>
    </w:p>
    <w:p w14:paraId="732F33AF"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«2.      La Commissione adotta una decisione, secondo la procedura di cui all’articolo 133, paragrafo 3, entro sessanta giorni dalla ricezione delle informazioni comunicate dallo Stato membro. Detta decisione: </w:t>
      </w:r>
    </w:p>
    <w:p w14:paraId="74DEB78F"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a)      autorizza la misura provvisoria per un periodo determinato, o </w:t>
      </w:r>
    </w:p>
    <w:p w14:paraId="1F34D3E0"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b)      dispone che lo Stato membro revochi la misura provvisoria.</w:t>
      </w:r>
    </w:p>
    <w:p w14:paraId="48B0F3A5" w14:textId="77777777" w:rsid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3.      Nel caso di una decisione di cui al paragrafo 2, lettera a), se la misura provvisoria adottata dallo Stato membro consiste in una restrizione dell’immissione sul mercato di una sostanza, lo Stato membro interessato avvia una procedura comunitaria di restrizione inoltrando all’agenzia un fascicolo, a norma dell’allegato XV, entro tre mesi dalla data della decisione della Commissione».      </w:t>
      </w:r>
    </w:p>
    <w:p w14:paraId="477FCE6B"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17. </w:t>
      </w:r>
      <w:r w:rsidRPr="00D565C2">
        <w:rPr>
          <w:rFonts w:ascii="Times New Roman" w:hAnsi="Times New Roman" w:cs="Times New Roman"/>
          <w:color w:val="333333"/>
        </w:rPr>
        <w:t>L’allegato XV del regolamento REACH definisce, secondo i propri termini, i principi generali relativi alla preparazione dei fascicoli per proporre e giustificare, in particolare, restrizioni alla fabbricazione, all’immissione sul mercato o all’uso di una sostanza all’interno della Comunità.</w:t>
      </w:r>
    </w:p>
    <w:p w14:paraId="0D1EB1AC" w14:textId="77777777" w:rsidR="00D565C2" w:rsidRPr="00D565C2" w:rsidRDefault="00D565C2" w:rsidP="00D565C2">
      <w:pPr>
        <w:jc w:val="both"/>
        <w:rPr>
          <w:rFonts w:ascii="Times New Roman" w:hAnsi="Times New Roman" w:cs="Times New Roman"/>
          <w:i/>
          <w:iCs/>
          <w:color w:val="333333"/>
        </w:rPr>
      </w:pPr>
      <w:r w:rsidRPr="00D565C2">
        <w:rPr>
          <w:rFonts w:ascii="Times New Roman" w:hAnsi="Times New Roman" w:cs="Times New Roman"/>
          <w:i/>
          <w:iCs/>
          <w:color w:val="333333"/>
        </w:rPr>
        <w:t> Diritto tedesco</w:t>
      </w:r>
      <w:r w:rsidRPr="00D565C2">
        <w:rPr>
          <w:rFonts w:ascii="Times New Roman" w:hAnsi="Times New Roman" w:cs="Times New Roman"/>
          <w:color w:val="333333"/>
        </w:rPr>
        <w:t>     </w:t>
      </w:r>
    </w:p>
    <w:p w14:paraId="6D92BBF1"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18. </w:t>
      </w:r>
      <w:r w:rsidRPr="00D565C2">
        <w:rPr>
          <w:rFonts w:ascii="Times New Roman" w:hAnsi="Times New Roman" w:cs="Times New Roman"/>
          <w:color w:val="333333"/>
        </w:rPr>
        <w:t xml:space="preserve">Il </w:t>
      </w:r>
      <w:proofErr w:type="spellStart"/>
      <w:r w:rsidRPr="00D565C2">
        <w:rPr>
          <w:rFonts w:ascii="Times New Roman" w:hAnsi="Times New Roman" w:cs="Times New Roman"/>
          <w:color w:val="333333"/>
        </w:rPr>
        <w:t>Gesetz</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zum</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Schutz</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vor</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gefährlichen</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Stoffen</w:t>
      </w:r>
      <w:proofErr w:type="spellEnd"/>
      <w:r w:rsidRPr="00D565C2">
        <w:rPr>
          <w:rFonts w:ascii="Times New Roman" w:hAnsi="Times New Roman" w:cs="Times New Roman"/>
          <w:color w:val="333333"/>
        </w:rPr>
        <w:t xml:space="preserve"> (</w:t>
      </w:r>
      <w:proofErr w:type="spellStart"/>
      <w:r w:rsidRPr="00D565C2">
        <w:rPr>
          <w:rFonts w:ascii="Times New Roman" w:hAnsi="Times New Roman" w:cs="Times New Roman"/>
          <w:color w:val="333333"/>
        </w:rPr>
        <w:t>Chemikaliengesetz</w:t>
      </w:r>
      <w:proofErr w:type="spellEnd"/>
      <w:r w:rsidRPr="00D565C2">
        <w:rPr>
          <w:rFonts w:ascii="Times New Roman" w:hAnsi="Times New Roman" w:cs="Times New Roman"/>
          <w:color w:val="333333"/>
        </w:rPr>
        <w:t>) (legge sulla tutela contro le sostanze pericolose, cosiddetta legge sui prodotti chimici), nella versione pubblicata il 28 agosto 2013 (</w:t>
      </w:r>
      <w:proofErr w:type="spellStart"/>
      <w:r w:rsidRPr="00D565C2">
        <w:rPr>
          <w:rFonts w:ascii="Times New Roman" w:hAnsi="Times New Roman" w:cs="Times New Roman"/>
          <w:color w:val="333333"/>
        </w:rPr>
        <w:t>BGBl</w:t>
      </w:r>
      <w:proofErr w:type="spellEnd"/>
      <w:r w:rsidRPr="00D565C2">
        <w:rPr>
          <w:rFonts w:ascii="Times New Roman" w:hAnsi="Times New Roman" w:cs="Times New Roman"/>
          <w:color w:val="333333"/>
        </w:rPr>
        <w:t>. I, pag. 3498, 3991), al suo articolo 27b, intitolato «Violazioni del regolamento [REACH]», prevede che «[è] punito con la reclusione fino a due anni o con una pena pecuniaria chiunque violi il regolamento [REACH]».</w:t>
      </w:r>
    </w:p>
    <w:p w14:paraId="3FCE9F19" w14:textId="77777777" w:rsidR="00A122C9" w:rsidRDefault="00A122C9" w:rsidP="00D565C2">
      <w:pPr>
        <w:jc w:val="both"/>
        <w:rPr>
          <w:rFonts w:ascii="Times New Roman" w:hAnsi="Times New Roman" w:cs="Times New Roman"/>
          <w:b/>
          <w:bCs/>
          <w:color w:val="333333"/>
        </w:rPr>
      </w:pPr>
    </w:p>
    <w:p w14:paraId="3141100D" w14:textId="77777777" w:rsidR="00D565C2" w:rsidRPr="00D565C2" w:rsidRDefault="00D565C2" w:rsidP="00D565C2">
      <w:pPr>
        <w:jc w:val="both"/>
        <w:rPr>
          <w:rFonts w:ascii="Times New Roman" w:hAnsi="Times New Roman" w:cs="Times New Roman"/>
          <w:b/>
          <w:bCs/>
          <w:color w:val="333333"/>
        </w:rPr>
      </w:pPr>
      <w:r w:rsidRPr="00D565C2">
        <w:rPr>
          <w:rFonts w:ascii="Times New Roman" w:hAnsi="Times New Roman" w:cs="Times New Roman"/>
          <w:b/>
          <w:bCs/>
          <w:color w:val="333333"/>
        </w:rPr>
        <w:t>Procedimento principale e questione pregiudiziale</w:t>
      </w:r>
    </w:p>
    <w:p w14:paraId="2811942C" w14:textId="77777777" w:rsidR="00D565C2" w:rsidRDefault="00D565C2" w:rsidP="00D565C2">
      <w:pPr>
        <w:ind w:left="567" w:hanging="539"/>
        <w:jc w:val="both"/>
        <w:rPr>
          <w:rFonts w:ascii="Times New Roman" w:hAnsi="Times New Roman" w:cs="Times New Roman"/>
          <w:color w:val="333333"/>
        </w:rPr>
      </w:pPr>
      <w:r>
        <w:rPr>
          <w:rFonts w:ascii="Times New Roman" w:hAnsi="Times New Roman" w:cs="Times New Roman"/>
          <w:color w:val="333333"/>
        </w:rPr>
        <w:t xml:space="preserve">19. </w:t>
      </w:r>
      <w:r w:rsidRPr="00D565C2">
        <w:rPr>
          <w:rFonts w:ascii="Times New Roman" w:hAnsi="Times New Roman" w:cs="Times New Roman"/>
          <w:color w:val="333333"/>
        </w:rPr>
        <w:t>Il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commercializza prodotti chimici.    </w:t>
      </w:r>
    </w:p>
    <w:p w14:paraId="456E2078"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20. </w:t>
      </w:r>
      <w:r w:rsidRPr="00D565C2">
        <w:rPr>
          <w:rFonts w:ascii="Times New Roman" w:hAnsi="Times New Roman" w:cs="Times New Roman"/>
          <w:color w:val="333333"/>
        </w:rPr>
        <w:t>Dopo il 1°dicembre 2008, egli ha importato dalla Cina almeno 19,4 tonnellate di solfato di nicotina senza aver provveduto alla registrazione preliminare richiesta a norma dell’articolo 28 del regolamento REACH.</w:t>
      </w:r>
    </w:p>
    <w:p w14:paraId="2CE0762F"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21. </w:t>
      </w:r>
      <w:r w:rsidRPr="00D565C2">
        <w:rPr>
          <w:rFonts w:ascii="Times New Roman" w:hAnsi="Times New Roman" w:cs="Times New Roman"/>
          <w:color w:val="333333"/>
        </w:rPr>
        <w:t>Poiché il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non ha neppure provveduto alla registrazione di tale prodotto ai sensi dell’articolo 6 del regolamento in parola, la città di Amburgo ha deciso che egli aveva diritto di utilizzare il prodotto di cui trattasi o di immetterlo sul mercato solo dopo aver ottenuto un’autorizzazione per l’uso previsto.      </w:t>
      </w:r>
    </w:p>
    <w:p w14:paraId="3A22B3B4"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22. </w:t>
      </w:r>
      <w:r w:rsidRPr="00D565C2">
        <w:rPr>
          <w:rFonts w:ascii="Times New Roman" w:hAnsi="Times New Roman" w:cs="Times New Roman"/>
          <w:color w:val="333333"/>
        </w:rPr>
        <w:t>L’autorizzazione ad esportare tale prodotto in Russia richiesta dal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è stata respinta dalla città di Amburgo in considerazione del fatto che egli si trovava illegalmente ad Amburgo. La città di Amburgo ha anche respinto il reclamo del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avverso tale decisione di diniego.     </w:t>
      </w:r>
    </w:p>
    <w:p w14:paraId="6054D6EE"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23. </w:t>
      </w:r>
      <w:r w:rsidRPr="00D565C2">
        <w:rPr>
          <w:rFonts w:ascii="Times New Roman" w:hAnsi="Times New Roman" w:cs="Times New Roman"/>
          <w:color w:val="333333"/>
        </w:rPr>
        <w:t>Di conseguenza, il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ha adito il </w:t>
      </w:r>
      <w:proofErr w:type="spellStart"/>
      <w:r w:rsidRPr="00D565C2">
        <w:rPr>
          <w:rFonts w:ascii="Times New Roman" w:hAnsi="Times New Roman" w:cs="Times New Roman"/>
          <w:color w:val="333333"/>
        </w:rPr>
        <w:t>Verwaltungsgericht</w:t>
      </w:r>
      <w:proofErr w:type="spellEnd"/>
      <w:r w:rsidRPr="00D565C2">
        <w:rPr>
          <w:rFonts w:ascii="Times New Roman" w:hAnsi="Times New Roman" w:cs="Times New Roman"/>
          <w:color w:val="333333"/>
        </w:rPr>
        <w:t xml:space="preserve"> Hamburg (tribunale amministrativo di Amburgo, Germania) con un ricorso contro il rigetto del reclamo, ricorso che tale giudice non ha accolto.     </w:t>
      </w:r>
    </w:p>
    <w:p w14:paraId="31C660CC"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24. </w:t>
      </w:r>
      <w:r w:rsidRPr="00D565C2">
        <w:rPr>
          <w:rFonts w:ascii="Times New Roman" w:hAnsi="Times New Roman" w:cs="Times New Roman"/>
          <w:color w:val="333333"/>
        </w:rPr>
        <w:t>Su appello interposto dal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l’</w:t>
      </w:r>
      <w:proofErr w:type="spellStart"/>
      <w:r w:rsidRPr="00D565C2">
        <w:rPr>
          <w:rFonts w:ascii="Times New Roman" w:hAnsi="Times New Roman" w:cs="Times New Roman"/>
          <w:color w:val="333333"/>
        </w:rPr>
        <w:t>Oberverwaltungsgericht</w:t>
      </w:r>
      <w:proofErr w:type="spellEnd"/>
      <w:r w:rsidRPr="00D565C2">
        <w:rPr>
          <w:rFonts w:ascii="Times New Roman" w:hAnsi="Times New Roman" w:cs="Times New Roman"/>
          <w:color w:val="333333"/>
        </w:rPr>
        <w:t xml:space="preserve"> (tribunale amministrativo superiore, Germania), il 25 febbraio 2014, ha annullato la sentenza del </w:t>
      </w:r>
      <w:proofErr w:type="spellStart"/>
      <w:r w:rsidRPr="00D565C2">
        <w:rPr>
          <w:rFonts w:ascii="Times New Roman" w:hAnsi="Times New Roman" w:cs="Times New Roman"/>
          <w:color w:val="333333"/>
        </w:rPr>
        <w:t>Verwaltungsgericht</w:t>
      </w:r>
      <w:proofErr w:type="spellEnd"/>
      <w:r w:rsidRPr="00D565C2">
        <w:rPr>
          <w:rFonts w:ascii="Times New Roman" w:hAnsi="Times New Roman" w:cs="Times New Roman"/>
          <w:color w:val="333333"/>
        </w:rPr>
        <w:t xml:space="preserve"> Hamburg (tribunale amministrativo di Amburgo) e ha imposto alla città di Amburgo l’obbligo di autorizzare il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a procedere all’esportazione richiesta del solfato di nicotina.     </w:t>
      </w:r>
    </w:p>
    <w:p w14:paraId="227C4103"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25. </w:t>
      </w:r>
      <w:r w:rsidRPr="00D565C2">
        <w:rPr>
          <w:rFonts w:ascii="Times New Roman" w:hAnsi="Times New Roman" w:cs="Times New Roman"/>
          <w:color w:val="333333"/>
        </w:rPr>
        <w:t>L’</w:t>
      </w:r>
      <w:proofErr w:type="spellStart"/>
      <w:r w:rsidRPr="00D565C2">
        <w:rPr>
          <w:rFonts w:ascii="Times New Roman" w:hAnsi="Times New Roman" w:cs="Times New Roman"/>
          <w:color w:val="333333"/>
        </w:rPr>
        <w:t>Oberverwaltungsgericht</w:t>
      </w:r>
      <w:proofErr w:type="spellEnd"/>
      <w:r w:rsidRPr="00D565C2">
        <w:rPr>
          <w:rFonts w:ascii="Times New Roman" w:hAnsi="Times New Roman" w:cs="Times New Roman"/>
          <w:color w:val="333333"/>
        </w:rPr>
        <w:t xml:space="preserve"> (tribunale amministrativo superiore) ha motivato la sua sentenza adducendo che, ad ogni modo, la prevista esportazione di una sostanza importata in violazione dell’articolo 5 del regolamento REACH successivamente non poteva costituire una nuova violazione del combinato disposto dell’articolo 3, punto 12, e dell’articolo 5 del regolamento in parola, se la sostanza di cui trattasi non era, come nel caso di specie, disponibile sul mercato europeo a causa di un divieto di utilizzazione.</w:t>
      </w:r>
    </w:p>
    <w:p w14:paraId="13D6CDD5" w14:textId="77777777" w:rsidR="00D565C2" w:rsidRDefault="00D565C2" w:rsidP="00D565C2">
      <w:pPr>
        <w:jc w:val="both"/>
        <w:rPr>
          <w:rFonts w:ascii="Times New Roman" w:hAnsi="Times New Roman" w:cs="Times New Roman"/>
          <w:color w:val="333333"/>
        </w:rPr>
      </w:pPr>
      <w:r>
        <w:rPr>
          <w:rFonts w:ascii="Times New Roman" w:hAnsi="Times New Roman" w:cs="Times New Roman"/>
          <w:color w:val="333333"/>
        </w:rPr>
        <w:t xml:space="preserve">26. </w:t>
      </w:r>
      <w:r w:rsidRPr="00D565C2">
        <w:rPr>
          <w:rFonts w:ascii="Times New Roman" w:hAnsi="Times New Roman" w:cs="Times New Roman"/>
          <w:color w:val="333333"/>
        </w:rPr>
        <w:t xml:space="preserve">La città di Amburgo ha impugnato detta sentenza dinanzi al </w:t>
      </w:r>
      <w:proofErr w:type="spellStart"/>
      <w:r w:rsidRPr="00D565C2">
        <w:rPr>
          <w:rFonts w:ascii="Times New Roman" w:hAnsi="Times New Roman" w:cs="Times New Roman"/>
          <w:color w:val="333333"/>
        </w:rPr>
        <w:t>Bundesverwaltungsgericht</w:t>
      </w:r>
      <w:proofErr w:type="spellEnd"/>
      <w:r w:rsidRPr="00D565C2">
        <w:rPr>
          <w:rFonts w:ascii="Times New Roman" w:hAnsi="Times New Roman" w:cs="Times New Roman"/>
          <w:color w:val="333333"/>
        </w:rPr>
        <w:t xml:space="preserve"> (Corte amministrativa federale, Germania). Essa sostiene che l’articolo 5 del regolamento REACH vieta l’esportazione in paesi terzi di sostanze che si trovano sul territorio dell’Unione, fintantoché e nei limiti in cui non siano state registrate conformemente a tale regolamento.  </w:t>
      </w:r>
    </w:p>
    <w:p w14:paraId="32A331A2"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27. </w:t>
      </w:r>
      <w:r w:rsidRPr="00D565C2">
        <w:rPr>
          <w:rFonts w:ascii="Times New Roman" w:hAnsi="Times New Roman" w:cs="Times New Roman"/>
          <w:color w:val="333333"/>
        </w:rPr>
        <w:t>Indipendentemente da tale contenzioso amministrativo, nell’ambito di un procedimento penale in Germania, il sig. </w:t>
      </w:r>
      <w:proofErr w:type="spellStart"/>
      <w:r w:rsidRPr="00D565C2">
        <w:rPr>
          <w:rFonts w:ascii="Times New Roman" w:hAnsi="Times New Roman" w:cs="Times New Roman"/>
          <w:color w:val="333333"/>
        </w:rPr>
        <w:t>Pinckernelle</w:t>
      </w:r>
      <w:proofErr w:type="spellEnd"/>
      <w:r w:rsidRPr="00D565C2">
        <w:rPr>
          <w:rFonts w:ascii="Times New Roman" w:hAnsi="Times New Roman" w:cs="Times New Roman"/>
          <w:color w:val="333333"/>
        </w:rPr>
        <w:t xml:space="preserve"> è stato condannato a una pena detentiva di 18 mesi, con sospensione della pena per tre anni, e a un’ammenda di EUR 340 000 adducendo segnatamente come motivazione che egli aveva proceduto all’importazione di sostanze chimiche in violazione dell’articolo 5 del regolamento REACH.    </w:t>
      </w:r>
    </w:p>
    <w:p w14:paraId="39B3D1BE"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28. </w:t>
      </w:r>
      <w:r w:rsidRPr="00D565C2">
        <w:rPr>
          <w:rFonts w:ascii="Times New Roman" w:hAnsi="Times New Roman" w:cs="Times New Roman"/>
          <w:color w:val="333333"/>
        </w:rPr>
        <w:t xml:space="preserve">Alla luce di quanto precede, il </w:t>
      </w:r>
      <w:proofErr w:type="spellStart"/>
      <w:r w:rsidRPr="00D565C2">
        <w:rPr>
          <w:rFonts w:ascii="Times New Roman" w:hAnsi="Times New Roman" w:cs="Times New Roman"/>
          <w:color w:val="333333"/>
        </w:rPr>
        <w:t>Bundesverwaltungsgericht</w:t>
      </w:r>
      <w:proofErr w:type="spellEnd"/>
      <w:r w:rsidRPr="00D565C2">
        <w:rPr>
          <w:rFonts w:ascii="Times New Roman" w:hAnsi="Times New Roman" w:cs="Times New Roman"/>
          <w:color w:val="333333"/>
        </w:rPr>
        <w:t xml:space="preserve"> (Corte amministrativa federale) ha deciso di sospendere il procedimento e di sottoporre alla Corte la seguente questione pregiudiziale:</w:t>
      </w:r>
    </w:p>
    <w:p w14:paraId="42824136"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«Se l’articolo 5 del regolamento REACH debba essere interpretato nel senso che, fatti salvi gli articoli 6, 7, 21 e 23 del medesimo regolamento, talune sostanze possono essere esportate fuori dal territorio dell’Unione solo qualora siano state registrate, ove richiesto, a norma delle pertinenti disposizioni del titolo II del regolamento REACH».</w:t>
      </w:r>
    </w:p>
    <w:p w14:paraId="74BA644F" w14:textId="77777777" w:rsidR="00A122C9" w:rsidRDefault="00A122C9" w:rsidP="00D565C2">
      <w:pPr>
        <w:jc w:val="both"/>
        <w:rPr>
          <w:rFonts w:ascii="Times New Roman" w:hAnsi="Times New Roman" w:cs="Times New Roman"/>
          <w:b/>
          <w:bCs/>
          <w:color w:val="333333"/>
        </w:rPr>
      </w:pPr>
    </w:p>
    <w:p w14:paraId="1A0C90A2" w14:textId="77777777" w:rsidR="00D565C2" w:rsidRPr="00D565C2" w:rsidRDefault="00D565C2" w:rsidP="00D565C2">
      <w:pPr>
        <w:jc w:val="both"/>
        <w:rPr>
          <w:rFonts w:ascii="Times New Roman" w:hAnsi="Times New Roman" w:cs="Times New Roman"/>
          <w:b/>
          <w:bCs/>
          <w:color w:val="333333"/>
        </w:rPr>
      </w:pPr>
      <w:r w:rsidRPr="00D565C2">
        <w:rPr>
          <w:rFonts w:ascii="Times New Roman" w:hAnsi="Times New Roman" w:cs="Times New Roman"/>
          <w:b/>
          <w:bCs/>
          <w:color w:val="333333"/>
        </w:rPr>
        <w:t>Sulla questione pregiudiziale</w:t>
      </w:r>
      <w:r w:rsidRPr="00D565C2">
        <w:rPr>
          <w:rFonts w:ascii="Times New Roman" w:hAnsi="Times New Roman" w:cs="Times New Roman"/>
          <w:color w:val="333333"/>
        </w:rPr>
        <w:t> </w:t>
      </w:r>
    </w:p>
    <w:p w14:paraId="6F154C6C"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29. </w:t>
      </w:r>
      <w:r w:rsidRPr="00D565C2">
        <w:rPr>
          <w:rFonts w:ascii="Times New Roman" w:hAnsi="Times New Roman" w:cs="Times New Roman"/>
          <w:color w:val="333333"/>
        </w:rPr>
        <w:t>Con la sua questione, il giudice del rinvio chiede sostanzialmente se l’articolo 5 del regolamento REACH debba essere interpretato nel senso che sostanze non registrate al momento della loro importazione nel territorio dell’Unione conformemente al regolamento in parola possano essere esportate fuori da tale territorio. </w:t>
      </w:r>
    </w:p>
    <w:p w14:paraId="1F21C692" w14:textId="77777777" w:rsidR="00D565C2" w:rsidRPr="00D565C2" w:rsidRDefault="00D565C2" w:rsidP="00D565C2">
      <w:pPr>
        <w:jc w:val="both"/>
        <w:rPr>
          <w:rFonts w:ascii="Times New Roman" w:hAnsi="Times New Roman" w:cs="Times New Roman"/>
          <w:color w:val="333333"/>
        </w:rPr>
      </w:pPr>
      <w:r>
        <w:rPr>
          <w:rFonts w:ascii="Times New Roman" w:hAnsi="Times New Roman" w:cs="Times New Roman"/>
          <w:color w:val="333333"/>
        </w:rPr>
        <w:t xml:space="preserve">30. </w:t>
      </w:r>
      <w:r w:rsidRPr="00D565C2">
        <w:rPr>
          <w:rFonts w:ascii="Times New Roman" w:hAnsi="Times New Roman" w:cs="Times New Roman"/>
          <w:color w:val="333333"/>
        </w:rPr>
        <w:t>Pertanto, la risposta a tale questione dipende dalla portata dell’obbligo di registrazione previsto in detta disposizione. </w:t>
      </w:r>
    </w:p>
    <w:p w14:paraId="6DCB81EA" w14:textId="77777777" w:rsidR="00D565C2" w:rsidRDefault="00D565C2" w:rsidP="00D565C2">
      <w:pPr>
        <w:jc w:val="both"/>
        <w:rPr>
          <w:rFonts w:ascii="Times New Roman" w:hAnsi="Times New Roman" w:cs="Times New Roman"/>
          <w:color w:val="333333"/>
        </w:rPr>
      </w:pPr>
      <w:r>
        <w:rPr>
          <w:rFonts w:ascii="Times New Roman" w:hAnsi="Times New Roman" w:cs="Times New Roman"/>
          <w:color w:val="333333"/>
        </w:rPr>
        <w:t xml:space="preserve">31. </w:t>
      </w:r>
      <w:r w:rsidRPr="00D565C2">
        <w:rPr>
          <w:rFonts w:ascii="Times New Roman" w:hAnsi="Times New Roman" w:cs="Times New Roman"/>
          <w:color w:val="333333"/>
        </w:rPr>
        <w:t xml:space="preserve">A questo proposito, conformemente alla giurisprudenza costante della Corte, ai fini dell’interpretazione di una norma di diritto dell’Unione si deve tener conto non soltanto della lettera della stessa, ma anche del suo contesto e degli scopi perseguiti dalla normativa di cui essa fa parte (sentenza del 17 marzo 2016, </w:t>
      </w:r>
      <w:proofErr w:type="spellStart"/>
      <w:r w:rsidRPr="00D565C2">
        <w:rPr>
          <w:rFonts w:ascii="Times New Roman" w:hAnsi="Times New Roman" w:cs="Times New Roman"/>
          <w:color w:val="333333"/>
        </w:rPr>
        <w:t>Liffers</w:t>
      </w:r>
      <w:proofErr w:type="spellEnd"/>
      <w:r w:rsidRPr="00D565C2">
        <w:rPr>
          <w:rFonts w:ascii="Times New Roman" w:hAnsi="Times New Roman" w:cs="Times New Roman"/>
          <w:color w:val="333333"/>
        </w:rPr>
        <w:t>, C</w:t>
      </w:r>
      <w:r w:rsidRPr="00D565C2">
        <w:rPr>
          <w:rFonts w:ascii="Times New Roman" w:hAnsi="Times New Roman" w:cs="Times New Roman"/>
          <w:color w:val="333333"/>
        </w:rPr>
        <w:noBreakHyphen/>
        <w:t>99/15, EU:C:2016:173, punto 14 e giurisprudenza citata).    </w:t>
      </w:r>
    </w:p>
    <w:p w14:paraId="3343D4A9"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31. </w:t>
      </w:r>
      <w:r w:rsidRPr="00D565C2">
        <w:rPr>
          <w:rFonts w:ascii="Times New Roman" w:hAnsi="Times New Roman" w:cs="Times New Roman"/>
          <w:color w:val="333333"/>
        </w:rPr>
        <w:t>Per quanto riguarda il tenore letterale dell’articolo 5 del regolamento REACH, va rilevato che, nelle versioni di tale disposizione in lingua bulgara, estone, greca, inglese, francese, italiana, neerlandese, polacca, portoghese e finlandese, l’espressione «nella Comunità» è esplicitamente collegata alla fabbricazione delle sostanze. Per contro, nelle versioni in lingua ceca, danese, lettone, ungherese, rumena, slovacca, slovena e svedese di detto articolo 5, l’espressione «nella Comunità» si riferisce al contempo alla fabbricazione e all’immissione sul mercato delle sostanze. Infine, quanto alle versioni in lingua spagnola, tedesca e lituana del suddetto articolo, esse sono ambigue.  </w:t>
      </w:r>
    </w:p>
    <w:p w14:paraId="4C422B8A"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33. </w:t>
      </w:r>
      <w:r w:rsidRPr="00D565C2">
        <w:rPr>
          <w:rFonts w:ascii="Times New Roman" w:hAnsi="Times New Roman" w:cs="Times New Roman"/>
          <w:color w:val="333333"/>
        </w:rPr>
        <w:t>Così, mentre l’interpretazione dell’articolo 5 del regolamento REACH secondo cui l’espressione «nella Comunità» si riferisce tanto alla fabbricazione quanto all’immissione sul mercato delle sostanze, non è esclusa alla luce di tutte le versioni linguistiche di tale disposizione, l’interpretazione secondo cui l’espressione di cui trattasi si riferisce esclusivamente alla fabbricazione di siffatte sostanze è contraria alla formulazione di detta disposizione in lingua ceca, danese, lettone, ungherese, rumena, slovacca, slovena e svedese.  </w:t>
      </w:r>
    </w:p>
    <w:p w14:paraId="218D264D"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34. </w:t>
      </w:r>
      <w:r w:rsidRPr="00D565C2">
        <w:rPr>
          <w:rFonts w:ascii="Times New Roman" w:hAnsi="Times New Roman" w:cs="Times New Roman"/>
          <w:color w:val="333333"/>
        </w:rPr>
        <w:t>Per quanto riguarda il contesto in cui si inserisce la disposizione di cui trattasi, occorre ricordare che l’articolo 3, punto 12, del regolamento REACH definisce l’«immissione sul mercato» come il fatto di fornire un prodotto o di metterlo a disposizione di un terzo, a titolo oneroso o meno, ed equipara ogni importazione ad un’immissione sul mercato. Per contro, tale disposizione non prevede che l’esportazione di un prodotto possa essere equiparata a un’immissione sul mercato. </w:t>
      </w:r>
    </w:p>
    <w:p w14:paraId="3F03114B"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35. </w:t>
      </w:r>
      <w:r w:rsidRPr="00D565C2">
        <w:rPr>
          <w:rFonts w:ascii="Times New Roman" w:hAnsi="Times New Roman" w:cs="Times New Roman"/>
          <w:color w:val="333333"/>
        </w:rPr>
        <w:t>Orbene, nei limiti in cui l’articolo 3, punto 12, del regolamento REACH definisce, ai fini del regolamento in parola, la nozione di «immissione sul mercato», essa deve essere intesa in modo uniforme nell’ambito del predetto regolamento.</w:t>
      </w:r>
    </w:p>
    <w:p w14:paraId="73BB425C"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36. </w:t>
      </w:r>
      <w:r w:rsidRPr="00D565C2">
        <w:rPr>
          <w:rFonts w:ascii="Times New Roman" w:hAnsi="Times New Roman" w:cs="Times New Roman"/>
          <w:color w:val="333333"/>
        </w:rPr>
        <w:t>A tal riguardo, occorre menzionare l’articolo 3, punto 21, del regolamento REACH, in forza del quale una «sostanza notificata» è una sostanza per la quale è stata presentata una notifica e che potrebbe essere immessa sul mercato a norma della direttiva 67/548. Orbene, tale direttiva prevede, al suo articolo 1, paragrafi 1 e 3, da un lato, che essa mira al ravvicinamento delle disposizioni legislative, regolamentari e amministrative degli Stati membri relative alla classificazione, all’imballaggio e all’etichettatura delle sostanze pericolose quando queste sono immesse sul mercato negli Stati membri della Comunità e, dall’altro, che essa non è applicabile alle sostanze pericolose quando esse sono esportate in paesi terzi. Ne consegue che l’«immissione sul mercato», cui si riferisce l’articolo 3, punto 21, del regolamento REACH, riguarda solamente il mercato interno ed esclude le esportazioni al di fuori di esso.   </w:t>
      </w:r>
    </w:p>
    <w:p w14:paraId="71EDB4A3"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37. </w:t>
      </w:r>
      <w:r w:rsidRPr="00D565C2">
        <w:rPr>
          <w:rFonts w:ascii="Times New Roman" w:hAnsi="Times New Roman" w:cs="Times New Roman"/>
          <w:color w:val="333333"/>
        </w:rPr>
        <w:t>A norma dell’articolo 31, paragrafo 5, del regolamento REACH, «l[a] scheda di dati di sicurezza è fornita nelle lingue ufficiali degli Stati membri sul cui mercato la sostanza o il preparato sono immessi, salvo qualora lo Stato membro o gli Stati membri in questione dispongano diversamente». Pertanto, anche tale disposizione ricollega l’«immissione sul mercato» unicamente al mercato interno. </w:t>
      </w:r>
    </w:p>
    <w:p w14:paraId="4737BCBD"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38. </w:t>
      </w:r>
      <w:r w:rsidRPr="00D565C2">
        <w:rPr>
          <w:rFonts w:ascii="Times New Roman" w:hAnsi="Times New Roman" w:cs="Times New Roman"/>
          <w:color w:val="333333"/>
        </w:rPr>
        <w:t>Lo stesso vale per l’articolo 112, lettera b), del regolamento REACH, in virtù del quale il titolo XI del regolamento in parola, in presenza di determinate condizioni, si applichi «alle sostanze che rientrano nell’ambito d’applicazione dell’articolo 1 della direttiva 67/548/CEE», ossia le sostanze pericolose «quando quest’ultime sono immesse sul mercato negli Stati membri della Comunità», ad esclusione di quelle che sono «esportate verso i paesi terzi».  </w:t>
      </w:r>
    </w:p>
    <w:p w14:paraId="40506B50"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39. </w:t>
      </w:r>
      <w:r w:rsidRPr="00D565C2">
        <w:rPr>
          <w:rFonts w:ascii="Times New Roman" w:hAnsi="Times New Roman" w:cs="Times New Roman"/>
          <w:color w:val="333333"/>
        </w:rPr>
        <w:t>In forza dell’articolo 129, paragrafo 3, del regolamento REACH, se, nel caso di una decisione della Commissione che autorizza le misure provvisorie per un periodo determinato, la misura provvisoria adottata dallo Stato membro consiste in una restrizione all’immissione sul mercato o all’utilizzo di una sostanza, quest’ultimo avvia una procedura comunitaria di restrizione inoltrando all’agenzia un fascicolo, a norma dell’allegato XV del regolamento in parola, entro tre mesi dalla data della decisione della Commissione. Orbene, detto allegato XV definisce i principi generali relativi alla preparazione dei fascicoli per proporre e giustificare, in particolare, restrizioni alla fabbricazione, all’immissione sul mercato o all’uso di una sostanza all’interno della Comunità. Risulta pertanto che l’«immissione sul mercato» di cui all’articolo 129, paragrafo 3, del regolamento REACH, sia connessa unicamente al mercato interno e non copra le esportazioni verso paesi terzi.   </w:t>
      </w:r>
    </w:p>
    <w:p w14:paraId="6831AEEE"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40. </w:t>
      </w:r>
      <w:r w:rsidRPr="00D565C2">
        <w:rPr>
          <w:rFonts w:ascii="Times New Roman" w:hAnsi="Times New Roman" w:cs="Times New Roman"/>
          <w:color w:val="333333"/>
        </w:rPr>
        <w:t>Su quest’ultimo punto, va sottolineato che, nell’ambito del regolamento REACH, le sostanze che lasciano il territorio della Comunità sono presentate non come «immesse sul mercato», bensì come «esportate». Pertanto, l’articolo 2, paragrafo 7, lettera c), sub i), del regolamento in parola, dispone che «[s]</w:t>
      </w:r>
      <w:proofErr w:type="spellStart"/>
      <w:r w:rsidRPr="00D565C2">
        <w:rPr>
          <w:rFonts w:ascii="Times New Roman" w:hAnsi="Times New Roman" w:cs="Times New Roman"/>
          <w:color w:val="333333"/>
        </w:rPr>
        <w:t>ono</w:t>
      </w:r>
      <w:proofErr w:type="spellEnd"/>
      <w:r w:rsidRPr="00D565C2">
        <w:rPr>
          <w:rFonts w:ascii="Times New Roman" w:hAnsi="Times New Roman" w:cs="Times New Roman"/>
          <w:color w:val="333333"/>
        </w:rPr>
        <w:t xml:space="preserve"> esentate dalle disposizioni dei titoli II, V e VI, le sostanze, in quanto tali o in quanto componenti di preparati, registrate a norma del titolo II, esportate a partire dalla Comunità da un attore della catena d’approvvigionamento e reimportate nella Comunità dallo stesso o da un altro attore della stessa catena d’approvvigionamento il quale dimostri che la sostanza in corso di reimportazione è la stessa sostanza esportata».     </w:t>
      </w:r>
    </w:p>
    <w:p w14:paraId="5510DC9E"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41. </w:t>
      </w:r>
      <w:r w:rsidRPr="00D565C2">
        <w:rPr>
          <w:rFonts w:ascii="Times New Roman" w:hAnsi="Times New Roman" w:cs="Times New Roman"/>
          <w:color w:val="333333"/>
        </w:rPr>
        <w:t>Da quanto precede risulta che l’esportazione di una sostanza verso un paese terzo non può essere qualificata come «immissione sul mercato» di tale sostanza, ai sensi dell’articolo 3, punto 12, e dell’articolo 5 del regolamento REACH.     </w:t>
      </w:r>
    </w:p>
    <w:p w14:paraId="02EC726B"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42. </w:t>
      </w:r>
      <w:r w:rsidRPr="00D565C2">
        <w:rPr>
          <w:rFonts w:ascii="Times New Roman" w:hAnsi="Times New Roman" w:cs="Times New Roman"/>
          <w:color w:val="333333"/>
        </w:rPr>
        <w:t>A tal riguardo, va rilevato che gli obiettivi del regolamento REACH non ostano a una siffatta interpretazione delle suddette disposizioni. Infatti, il regolamento di cui trattasi è fondato esplicitamente sull’articolo 95 CE, divenuto articolo 114 TFUE, le cui disposizioni si applicano per la realizzazione degli obiettivi enunciati all’articolo 14 CE, divenuto articolo 26 TFUE, ossia instaurare o garantire il funzionamento del mercato interno, che comporta uno spazio senza frontiere interne nel quale è assicurata la libera circolazione delle merci.  </w:t>
      </w:r>
    </w:p>
    <w:p w14:paraId="43EE1E41"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43. </w:t>
      </w:r>
      <w:r w:rsidRPr="00D565C2">
        <w:rPr>
          <w:rFonts w:ascii="Times New Roman" w:hAnsi="Times New Roman" w:cs="Times New Roman"/>
          <w:color w:val="333333"/>
        </w:rPr>
        <w:t xml:space="preserve">In tale contesto, il considerando 1 del regolamento REACH indica che quest’ultimo dovrebbe assicurare, in particolare, la libera circolazione delle merci. A tal riguardo, la Corte precisa che quest’ultima riguarda il mercato interno (v., in tal senso, sentenza del 17 marzo 2016, Canadian </w:t>
      </w:r>
      <w:proofErr w:type="spellStart"/>
      <w:r w:rsidRPr="00D565C2">
        <w:rPr>
          <w:rFonts w:ascii="Times New Roman" w:hAnsi="Times New Roman" w:cs="Times New Roman"/>
          <w:color w:val="333333"/>
        </w:rPr>
        <w:t>Oil</w:t>
      </w:r>
      <w:proofErr w:type="spellEnd"/>
      <w:r w:rsidRPr="00D565C2">
        <w:rPr>
          <w:rFonts w:ascii="Times New Roman" w:hAnsi="Times New Roman" w:cs="Times New Roman"/>
          <w:color w:val="333333"/>
        </w:rPr>
        <w:t xml:space="preserve"> Company </w:t>
      </w:r>
      <w:proofErr w:type="spellStart"/>
      <w:r w:rsidRPr="00D565C2">
        <w:rPr>
          <w:rFonts w:ascii="Times New Roman" w:hAnsi="Times New Roman" w:cs="Times New Roman"/>
          <w:color w:val="333333"/>
        </w:rPr>
        <w:t>Sweden</w:t>
      </w:r>
      <w:proofErr w:type="spellEnd"/>
      <w:r w:rsidRPr="00D565C2">
        <w:rPr>
          <w:rFonts w:ascii="Times New Roman" w:hAnsi="Times New Roman" w:cs="Times New Roman"/>
          <w:color w:val="333333"/>
        </w:rPr>
        <w:t xml:space="preserve"> e </w:t>
      </w:r>
      <w:proofErr w:type="spellStart"/>
      <w:r w:rsidRPr="00D565C2">
        <w:rPr>
          <w:rFonts w:ascii="Times New Roman" w:hAnsi="Times New Roman" w:cs="Times New Roman"/>
          <w:color w:val="333333"/>
        </w:rPr>
        <w:t>Rantén</w:t>
      </w:r>
      <w:proofErr w:type="spellEnd"/>
      <w:r w:rsidRPr="00D565C2">
        <w:rPr>
          <w:rFonts w:ascii="Times New Roman" w:hAnsi="Times New Roman" w:cs="Times New Roman"/>
          <w:color w:val="333333"/>
        </w:rPr>
        <w:t>, C</w:t>
      </w:r>
      <w:r w:rsidRPr="00D565C2">
        <w:rPr>
          <w:rFonts w:ascii="Times New Roman" w:hAnsi="Times New Roman" w:cs="Times New Roman"/>
          <w:color w:val="333333"/>
        </w:rPr>
        <w:noBreakHyphen/>
        <w:t>472/14, EU:C:2016:171, punto 32). Ai sensi del considerando 2 del regolamento in parola, il funzionamento efficace del mercato interno delle sostanze può essere ottenuto soltanto se le prescrizioni ad esse applicabili non differiscono in modo rilevante da uno Stato membro all’altro. Secondo il considerando 7 del regolamento in parola, al fine di preservare l’integrità del mercato interno e garantire un elevato grado di protezione della salute umana, in particolare di quella dei lavoratori, e di tutela dell’ambiente, è necessario garantire che la fabbricazione delle sostanze nella Comunità sia conforme al diritto comunitario, anche quando dette sostanze sono esportate.    </w:t>
      </w:r>
    </w:p>
    <w:p w14:paraId="210B83FA"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44. </w:t>
      </w:r>
      <w:r w:rsidRPr="00D565C2">
        <w:rPr>
          <w:rFonts w:ascii="Times New Roman" w:hAnsi="Times New Roman" w:cs="Times New Roman"/>
          <w:color w:val="333333"/>
        </w:rPr>
        <w:t>Dal complesso dei summenzionati elementi risulta che il mercato cui viene fatto riferimento nel regolamento REACH è il mercato interno e che, di conseguenza, l’«immissione sul mercato» si riferisce al mercato interno. Una siffatta interpretazione non viene contraddetta da alcun elemento del regolamento in parola, a maggior ragione in quanto, quando si tratta dell’immissione in circolazione di sostanze al di fuori del mercato interno, detto regolamento si riferisce alla nozione di esportazione.   </w:t>
      </w:r>
    </w:p>
    <w:p w14:paraId="51D2C890"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45. </w:t>
      </w:r>
      <w:r w:rsidRPr="00D565C2">
        <w:rPr>
          <w:rFonts w:ascii="Times New Roman" w:hAnsi="Times New Roman" w:cs="Times New Roman"/>
          <w:color w:val="333333"/>
        </w:rPr>
        <w:t>La città di Amburgo e il governo tedesco hanno sostenuto che l’interpretazione dei termini «immesse sul mercato», di cui all’articolo 5 del regolamento REACH, nel senso che essi riguardano solo il mercato interno e non l’esportazione verso paesi terzi di sostanze chimiche non registrate al momento della loro importazione nell’Unione, potrebbe fare sorgere il rischio che importatori poco scrupolosi violino consapevolmente gli obblighi di registrazione delle sostanze chimiche imposte dall’Unione, sapendo che possono semplicemente esportare.   </w:t>
      </w:r>
    </w:p>
    <w:p w14:paraId="1E6525BD"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46. </w:t>
      </w:r>
      <w:r w:rsidRPr="00D565C2">
        <w:rPr>
          <w:rFonts w:ascii="Times New Roman" w:hAnsi="Times New Roman" w:cs="Times New Roman"/>
          <w:color w:val="333333"/>
        </w:rPr>
        <w:t>A tal riguardo, va ricordato che, conformemente all’articolo 126 del regolamento REACH, gli Stati membri emanano le disposizioni relative alle sanzioni da irrogare in caso di violazione delle disposizioni del presente regolamento, tra cui l’articolo 5 che impone la registrazione delle sostanze, in particolare quando sono esportate, ed adottano tutte le misure necessarie per assicurarne l’applicazione. Peraltro, le sanzioni in tal modo previste devono essere effettive, proporzionate e dissuasive.     </w:t>
      </w:r>
    </w:p>
    <w:p w14:paraId="29658CF1"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47. </w:t>
      </w:r>
      <w:r w:rsidRPr="00D565C2">
        <w:rPr>
          <w:rFonts w:ascii="Times New Roman" w:hAnsi="Times New Roman" w:cs="Times New Roman"/>
          <w:color w:val="333333"/>
        </w:rPr>
        <w:t>Nel caso di specie, va osservato che, come precisato al punto 18 della presente sentenza, la normativa tedesca prevede che venga punito con una pena detentiva fino a due anni o con una pena pecuniaria chiunque violi il regolamento REACH.</w:t>
      </w:r>
    </w:p>
    <w:p w14:paraId="37DCC5C1" w14:textId="77777777" w:rsidR="00D565C2" w:rsidRDefault="00D565C2" w:rsidP="00D565C2">
      <w:pPr>
        <w:jc w:val="both"/>
        <w:rPr>
          <w:rFonts w:ascii="Times New Roman" w:hAnsi="Times New Roman" w:cs="Times New Roman"/>
          <w:color w:val="333333"/>
        </w:rPr>
      </w:pPr>
      <w:r>
        <w:rPr>
          <w:rFonts w:ascii="Times New Roman" w:hAnsi="Times New Roman" w:cs="Times New Roman"/>
          <w:color w:val="333333"/>
        </w:rPr>
        <w:t xml:space="preserve">48. </w:t>
      </w:r>
      <w:r w:rsidRPr="00D565C2">
        <w:rPr>
          <w:rFonts w:ascii="Times New Roman" w:hAnsi="Times New Roman" w:cs="Times New Roman"/>
          <w:color w:val="333333"/>
        </w:rPr>
        <w:t>Infine, come emerge dal fascicolo di cui dispone la Corte e, in particolare, dalla decisione di rinvio, le autorità competenti possono ricorrere alle disposizioni del diritto amministrativo nazionale per imporre il rispetto, eventualmente mediante esecuzione forzata, dell’obbligo di registrazione, quale deriva, in particolare, dall’articolo 5 del regolamento REACH, di una sostanza oggetto di un’importazione.   </w:t>
      </w:r>
    </w:p>
    <w:p w14:paraId="2B9B4C8A" w14:textId="77777777" w:rsid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49. </w:t>
      </w:r>
      <w:r w:rsidRPr="00D565C2">
        <w:rPr>
          <w:rFonts w:ascii="Times New Roman" w:hAnsi="Times New Roman" w:cs="Times New Roman"/>
          <w:color w:val="333333"/>
        </w:rPr>
        <w:t>Tenuto conto di tutte le considerazioni che precedono, occorre rispondere alla questione pregiudiziale dichiarando che l’articolo 5 del regolamento REACH, in combinato disposto con l’articolo 3, punto 12, del medesimo regolamento, deve essere interpretato nel senso che sostanze che al momento della loro importazione nel territorio dell’Unione non sono state registrate conformemente al suddetto regolamento, possono essere esportate fuori da tale territorio.</w:t>
      </w:r>
    </w:p>
    <w:p w14:paraId="2251D7BC" w14:textId="77777777" w:rsidR="00717168" w:rsidRDefault="00717168" w:rsidP="00D565C2">
      <w:pPr>
        <w:ind w:left="28"/>
        <w:jc w:val="both"/>
        <w:rPr>
          <w:rFonts w:ascii="Times New Roman" w:hAnsi="Times New Roman" w:cs="Times New Roman"/>
          <w:b/>
          <w:bCs/>
          <w:color w:val="333333"/>
        </w:rPr>
      </w:pPr>
    </w:p>
    <w:p w14:paraId="7FD41249" w14:textId="77777777" w:rsidR="00D565C2" w:rsidRDefault="00D565C2" w:rsidP="00D565C2">
      <w:pPr>
        <w:ind w:left="28"/>
        <w:jc w:val="both"/>
        <w:rPr>
          <w:rFonts w:ascii="Times New Roman" w:hAnsi="Times New Roman" w:cs="Times New Roman"/>
          <w:color w:val="333333"/>
        </w:rPr>
      </w:pPr>
      <w:bookmarkStart w:id="0" w:name="_GoBack"/>
      <w:bookmarkEnd w:id="0"/>
      <w:r w:rsidRPr="00D565C2">
        <w:rPr>
          <w:rFonts w:ascii="Times New Roman" w:hAnsi="Times New Roman" w:cs="Times New Roman"/>
          <w:b/>
          <w:bCs/>
          <w:color w:val="333333"/>
        </w:rPr>
        <w:t>Sulle spese</w:t>
      </w:r>
      <w:r w:rsidRPr="00D565C2">
        <w:rPr>
          <w:rFonts w:ascii="Times New Roman" w:hAnsi="Times New Roman" w:cs="Times New Roman"/>
          <w:color w:val="333333"/>
        </w:rPr>
        <w:t>   </w:t>
      </w:r>
    </w:p>
    <w:p w14:paraId="05CE77A7" w14:textId="77777777" w:rsidR="00D565C2" w:rsidRPr="00D565C2" w:rsidRDefault="00D565C2" w:rsidP="00D565C2">
      <w:pPr>
        <w:ind w:left="28"/>
        <w:jc w:val="both"/>
        <w:rPr>
          <w:rFonts w:ascii="Times New Roman" w:hAnsi="Times New Roman" w:cs="Times New Roman"/>
          <w:color w:val="333333"/>
        </w:rPr>
      </w:pPr>
      <w:r>
        <w:rPr>
          <w:rFonts w:ascii="Times New Roman" w:hAnsi="Times New Roman" w:cs="Times New Roman"/>
          <w:color w:val="333333"/>
        </w:rPr>
        <w:t xml:space="preserve">50. </w:t>
      </w:r>
      <w:r w:rsidRPr="00D565C2">
        <w:rPr>
          <w:rFonts w:ascii="Times New Roman" w:hAnsi="Times New Roman" w:cs="Times New Roman"/>
          <w:color w:val="333333"/>
        </w:rPr>
        <w:t>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5CD10254" w14:textId="77777777" w:rsidR="00D565C2" w:rsidRPr="00D565C2" w:rsidRDefault="00D565C2" w:rsidP="00D565C2">
      <w:pPr>
        <w:jc w:val="both"/>
        <w:rPr>
          <w:rFonts w:ascii="Times New Roman" w:hAnsi="Times New Roman" w:cs="Times New Roman"/>
          <w:color w:val="333333"/>
        </w:rPr>
      </w:pPr>
      <w:r w:rsidRPr="00D565C2">
        <w:rPr>
          <w:rFonts w:ascii="Times New Roman" w:hAnsi="Times New Roman" w:cs="Times New Roman"/>
          <w:color w:val="333333"/>
        </w:rPr>
        <w:t>Per questi motivi, la Corte (Terza Sezione) dichiara:</w:t>
      </w:r>
    </w:p>
    <w:p w14:paraId="5953475A" w14:textId="77777777" w:rsidR="00D565C2" w:rsidRPr="00D565C2" w:rsidRDefault="00D565C2" w:rsidP="00D565C2">
      <w:pPr>
        <w:jc w:val="both"/>
        <w:rPr>
          <w:rFonts w:ascii="Times New Roman" w:hAnsi="Times New Roman" w:cs="Times New Roman"/>
          <w:bCs/>
          <w:color w:val="333333"/>
        </w:rPr>
      </w:pPr>
      <w:r w:rsidRPr="00D565C2">
        <w:rPr>
          <w:rFonts w:ascii="Times New Roman" w:hAnsi="Times New Roman" w:cs="Times New Roman"/>
          <w:bCs/>
          <w:color w:val="333333"/>
        </w:rPr>
        <w:t>L’articolo 5 del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in combinato disposto con l’articolo 3, punto 12, del suddetto regolamento, deve essere interpretato nel senso che sostanze che al momento della loro importazione nel territorio dell’Unione europea non sono state registrate conformemente al suddetto regolamento, possono essere esportate fuori da tale territorio.</w:t>
      </w:r>
    </w:p>
    <w:p w14:paraId="6AE524AE" w14:textId="77777777" w:rsidR="00D565C2" w:rsidRPr="00D565C2" w:rsidRDefault="00D565C2" w:rsidP="00D565C2">
      <w:pPr>
        <w:jc w:val="both"/>
        <w:rPr>
          <w:rFonts w:ascii="Times New Roman" w:eastAsia="Times New Roman" w:hAnsi="Times New Roman" w:cs="Times New Roman"/>
        </w:rPr>
      </w:pPr>
    </w:p>
    <w:p w14:paraId="73BD1102" w14:textId="77777777" w:rsidR="005852F1" w:rsidRPr="00D565C2" w:rsidRDefault="005852F1" w:rsidP="00D565C2">
      <w:pPr>
        <w:jc w:val="both"/>
        <w:rPr>
          <w:rFonts w:ascii="Times New Roman" w:hAnsi="Times New Roman" w:cs="Times New Roman"/>
        </w:rPr>
      </w:pPr>
    </w:p>
    <w:sectPr w:rsidR="005852F1" w:rsidRPr="00D565C2"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C2"/>
    <w:rsid w:val="00332CFF"/>
    <w:rsid w:val="005439DF"/>
    <w:rsid w:val="005852F1"/>
    <w:rsid w:val="00717168"/>
    <w:rsid w:val="007420E5"/>
    <w:rsid w:val="007D1C19"/>
    <w:rsid w:val="007E1819"/>
    <w:rsid w:val="008D3DDF"/>
    <w:rsid w:val="00A122C9"/>
    <w:rsid w:val="00D565C2"/>
    <w:rsid w:val="00FD53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A1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D565C2"/>
  </w:style>
  <w:style w:type="paragraph" w:customStyle="1" w:styleId="c75debutdesmotifs">
    <w:name w:val="c75debutdesmotifs"/>
    <w:basedOn w:val="Normale"/>
    <w:rsid w:val="00D565C2"/>
    <w:pPr>
      <w:spacing w:before="100" w:beforeAutospacing="1" w:after="100" w:afterAutospacing="1"/>
    </w:pPr>
    <w:rPr>
      <w:rFonts w:ascii="Times" w:hAnsi="Times"/>
      <w:sz w:val="20"/>
      <w:szCs w:val="20"/>
    </w:rPr>
  </w:style>
  <w:style w:type="paragraph" w:customStyle="1" w:styleId="c01pointnumerotealtn">
    <w:name w:val="c01pointnumerotealtn"/>
    <w:basedOn w:val="Normale"/>
    <w:rsid w:val="00D565C2"/>
    <w:pPr>
      <w:spacing w:before="100" w:beforeAutospacing="1" w:after="100" w:afterAutospacing="1"/>
    </w:pPr>
    <w:rPr>
      <w:rFonts w:ascii="Times" w:hAnsi="Times"/>
      <w:sz w:val="20"/>
      <w:szCs w:val="20"/>
    </w:rPr>
  </w:style>
  <w:style w:type="paragraph" w:customStyle="1" w:styleId="c04titre1">
    <w:name w:val="c04titre1"/>
    <w:basedOn w:val="Normale"/>
    <w:rsid w:val="00D565C2"/>
    <w:pPr>
      <w:spacing w:before="100" w:beforeAutospacing="1" w:after="100" w:afterAutospacing="1"/>
    </w:pPr>
    <w:rPr>
      <w:rFonts w:ascii="Times" w:hAnsi="Times"/>
      <w:sz w:val="20"/>
      <w:szCs w:val="20"/>
    </w:rPr>
  </w:style>
  <w:style w:type="paragraph" w:customStyle="1" w:styleId="c05titre2">
    <w:name w:val="c05titre2"/>
    <w:basedOn w:val="Normale"/>
    <w:rsid w:val="00D565C2"/>
    <w:pPr>
      <w:spacing w:before="100" w:beforeAutospacing="1" w:after="100" w:afterAutospacing="1"/>
    </w:pPr>
    <w:rPr>
      <w:rFonts w:ascii="Times" w:hAnsi="Times"/>
      <w:sz w:val="20"/>
      <w:szCs w:val="20"/>
    </w:rPr>
  </w:style>
  <w:style w:type="paragraph" w:customStyle="1" w:styleId="c02alineaalta">
    <w:name w:val="c02alineaalta"/>
    <w:basedOn w:val="Normale"/>
    <w:rsid w:val="00D565C2"/>
    <w:pPr>
      <w:spacing w:before="100" w:beforeAutospacing="1" w:after="100" w:afterAutospacing="1"/>
    </w:pPr>
    <w:rPr>
      <w:rFonts w:ascii="Times" w:hAnsi="Times"/>
      <w:sz w:val="20"/>
      <w:szCs w:val="20"/>
    </w:rPr>
  </w:style>
  <w:style w:type="paragraph" w:customStyle="1" w:styleId="c09marge0avecretrait">
    <w:name w:val="c09marge0avecretrait"/>
    <w:basedOn w:val="Normale"/>
    <w:rsid w:val="00D565C2"/>
    <w:pPr>
      <w:spacing w:before="100" w:beforeAutospacing="1" w:after="100" w:afterAutospacing="1"/>
    </w:pPr>
    <w:rPr>
      <w:rFonts w:ascii="Times" w:hAnsi="Times"/>
      <w:sz w:val="20"/>
      <w:szCs w:val="20"/>
    </w:rPr>
  </w:style>
  <w:style w:type="paragraph" w:customStyle="1" w:styleId="c10marge1">
    <w:name w:val="c10marge1"/>
    <w:basedOn w:val="Normale"/>
    <w:rsid w:val="00D565C2"/>
    <w:pPr>
      <w:spacing w:before="100" w:beforeAutospacing="1" w:after="100" w:afterAutospacing="1"/>
    </w:pPr>
    <w:rPr>
      <w:rFonts w:ascii="Times" w:hAnsi="Times"/>
      <w:sz w:val="20"/>
      <w:szCs w:val="20"/>
    </w:rPr>
  </w:style>
  <w:style w:type="paragraph" w:customStyle="1" w:styleId="c41dispositifintroduction">
    <w:name w:val="c41dispositifintroduction"/>
    <w:basedOn w:val="Normale"/>
    <w:rsid w:val="00D565C2"/>
    <w:pPr>
      <w:spacing w:before="100" w:beforeAutospacing="1" w:after="100" w:afterAutospacing="1"/>
    </w:pPr>
    <w:rPr>
      <w:rFonts w:ascii="Times" w:hAnsi="Times"/>
      <w:sz w:val="20"/>
      <w:szCs w:val="20"/>
    </w:rPr>
  </w:style>
  <w:style w:type="paragraph" w:customStyle="1" w:styleId="c30dispositifalinea">
    <w:name w:val="c30dispositifalinea"/>
    <w:basedOn w:val="Normale"/>
    <w:rsid w:val="00D565C2"/>
    <w:pPr>
      <w:spacing w:before="100" w:beforeAutospacing="1" w:after="100" w:afterAutospacing="1"/>
    </w:pPr>
    <w:rPr>
      <w:rFonts w:ascii="Times" w:hAnsi="Times"/>
      <w:sz w:val="20"/>
      <w:szCs w:val="20"/>
    </w:rPr>
  </w:style>
  <w:style w:type="paragraph" w:customStyle="1" w:styleId="c77signatures">
    <w:name w:val="c77signatures"/>
    <w:basedOn w:val="Normale"/>
    <w:rsid w:val="00D565C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D565C2"/>
  </w:style>
  <w:style w:type="paragraph" w:customStyle="1" w:styleId="c75debutdesmotifs">
    <w:name w:val="c75debutdesmotifs"/>
    <w:basedOn w:val="Normale"/>
    <w:rsid w:val="00D565C2"/>
    <w:pPr>
      <w:spacing w:before="100" w:beforeAutospacing="1" w:after="100" w:afterAutospacing="1"/>
    </w:pPr>
    <w:rPr>
      <w:rFonts w:ascii="Times" w:hAnsi="Times"/>
      <w:sz w:val="20"/>
      <w:szCs w:val="20"/>
    </w:rPr>
  </w:style>
  <w:style w:type="paragraph" w:customStyle="1" w:styleId="c01pointnumerotealtn">
    <w:name w:val="c01pointnumerotealtn"/>
    <w:basedOn w:val="Normale"/>
    <w:rsid w:val="00D565C2"/>
    <w:pPr>
      <w:spacing w:before="100" w:beforeAutospacing="1" w:after="100" w:afterAutospacing="1"/>
    </w:pPr>
    <w:rPr>
      <w:rFonts w:ascii="Times" w:hAnsi="Times"/>
      <w:sz w:val="20"/>
      <w:szCs w:val="20"/>
    </w:rPr>
  </w:style>
  <w:style w:type="paragraph" w:customStyle="1" w:styleId="c04titre1">
    <w:name w:val="c04titre1"/>
    <w:basedOn w:val="Normale"/>
    <w:rsid w:val="00D565C2"/>
    <w:pPr>
      <w:spacing w:before="100" w:beforeAutospacing="1" w:after="100" w:afterAutospacing="1"/>
    </w:pPr>
    <w:rPr>
      <w:rFonts w:ascii="Times" w:hAnsi="Times"/>
      <w:sz w:val="20"/>
      <w:szCs w:val="20"/>
    </w:rPr>
  </w:style>
  <w:style w:type="paragraph" w:customStyle="1" w:styleId="c05titre2">
    <w:name w:val="c05titre2"/>
    <w:basedOn w:val="Normale"/>
    <w:rsid w:val="00D565C2"/>
    <w:pPr>
      <w:spacing w:before="100" w:beforeAutospacing="1" w:after="100" w:afterAutospacing="1"/>
    </w:pPr>
    <w:rPr>
      <w:rFonts w:ascii="Times" w:hAnsi="Times"/>
      <w:sz w:val="20"/>
      <w:szCs w:val="20"/>
    </w:rPr>
  </w:style>
  <w:style w:type="paragraph" w:customStyle="1" w:styleId="c02alineaalta">
    <w:name w:val="c02alineaalta"/>
    <w:basedOn w:val="Normale"/>
    <w:rsid w:val="00D565C2"/>
    <w:pPr>
      <w:spacing w:before="100" w:beforeAutospacing="1" w:after="100" w:afterAutospacing="1"/>
    </w:pPr>
    <w:rPr>
      <w:rFonts w:ascii="Times" w:hAnsi="Times"/>
      <w:sz w:val="20"/>
      <w:szCs w:val="20"/>
    </w:rPr>
  </w:style>
  <w:style w:type="paragraph" w:customStyle="1" w:styleId="c09marge0avecretrait">
    <w:name w:val="c09marge0avecretrait"/>
    <w:basedOn w:val="Normale"/>
    <w:rsid w:val="00D565C2"/>
    <w:pPr>
      <w:spacing w:before="100" w:beforeAutospacing="1" w:after="100" w:afterAutospacing="1"/>
    </w:pPr>
    <w:rPr>
      <w:rFonts w:ascii="Times" w:hAnsi="Times"/>
      <w:sz w:val="20"/>
      <w:szCs w:val="20"/>
    </w:rPr>
  </w:style>
  <w:style w:type="paragraph" w:customStyle="1" w:styleId="c10marge1">
    <w:name w:val="c10marge1"/>
    <w:basedOn w:val="Normale"/>
    <w:rsid w:val="00D565C2"/>
    <w:pPr>
      <w:spacing w:before="100" w:beforeAutospacing="1" w:after="100" w:afterAutospacing="1"/>
    </w:pPr>
    <w:rPr>
      <w:rFonts w:ascii="Times" w:hAnsi="Times"/>
      <w:sz w:val="20"/>
      <w:szCs w:val="20"/>
    </w:rPr>
  </w:style>
  <w:style w:type="paragraph" w:customStyle="1" w:styleId="c41dispositifintroduction">
    <w:name w:val="c41dispositifintroduction"/>
    <w:basedOn w:val="Normale"/>
    <w:rsid w:val="00D565C2"/>
    <w:pPr>
      <w:spacing w:before="100" w:beforeAutospacing="1" w:after="100" w:afterAutospacing="1"/>
    </w:pPr>
    <w:rPr>
      <w:rFonts w:ascii="Times" w:hAnsi="Times"/>
      <w:sz w:val="20"/>
      <w:szCs w:val="20"/>
    </w:rPr>
  </w:style>
  <w:style w:type="paragraph" w:customStyle="1" w:styleId="c30dispositifalinea">
    <w:name w:val="c30dispositifalinea"/>
    <w:basedOn w:val="Normale"/>
    <w:rsid w:val="00D565C2"/>
    <w:pPr>
      <w:spacing w:before="100" w:beforeAutospacing="1" w:after="100" w:afterAutospacing="1"/>
    </w:pPr>
    <w:rPr>
      <w:rFonts w:ascii="Times" w:hAnsi="Times"/>
      <w:sz w:val="20"/>
      <w:szCs w:val="20"/>
    </w:rPr>
  </w:style>
  <w:style w:type="paragraph" w:customStyle="1" w:styleId="c77signatures">
    <w:name w:val="c77signatures"/>
    <w:basedOn w:val="Normale"/>
    <w:rsid w:val="00D565C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271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4484</Words>
  <Characters>25560</Characters>
  <Application>Microsoft Macintosh Word</Application>
  <DocSecurity>0</DocSecurity>
  <Lines>213</Lines>
  <Paragraphs>59</Paragraphs>
  <ScaleCrop>false</ScaleCrop>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8</cp:revision>
  <dcterms:created xsi:type="dcterms:W3CDTF">2017-05-16T07:49:00Z</dcterms:created>
  <dcterms:modified xsi:type="dcterms:W3CDTF">2017-05-16T08:37:00Z</dcterms:modified>
</cp:coreProperties>
</file>