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AE3038">
        <w:rPr>
          <w:rFonts w:ascii="Times New Roman" w:hAnsi="Times New Roman" w:cs="Times New Roman"/>
          <w:b/>
          <w:sz w:val="24"/>
          <w:szCs w:val="24"/>
        </w:rPr>
        <w:t>Lazio Roma</w:t>
      </w:r>
      <w:r w:rsidR="0089265E">
        <w:rPr>
          <w:rFonts w:ascii="Times New Roman" w:hAnsi="Times New Roman" w:cs="Times New Roman"/>
          <w:b/>
          <w:sz w:val="24"/>
          <w:szCs w:val="24"/>
        </w:rPr>
        <w:t xml:space="preserve"> Sez. I</w:t>
      </w:r>
      <w:r w:rsidR="00AE3038">
        <w:rPr>
          <w:rFonts w:ascii="Times New Roman" w:hAnsi="Times New Roman" w:cs="Times New Roman"/>
          <w:b/>
          <w:sz w:val="24"/>
          <w:szCs w:val="24"/>
        </w:rPr>
        <w:t>I bis</w:t>
      </w:r>
      <w:r w:rsidR="0089265E">
        <w:rPr>
          <w:rFonts w:ascii="Times New Roman" w:hAnsi="Times New Roman" w:cs="Times New Roman"/>
          <w:b/>
          <w:sz w:val="24"/>
          <w:szCs w:val="24"/>
        </w:rPr>
        <w:t xml:space="preserve"> n. </w:t>
      </w:r>
      <w:r w:rsidR="00AE3038">
        <w:rPr>
          <w:rFonts w:ascii="Times New Roman" w:hAnsi="Times New Roman" w:cs="Times New Roman"/>
          <w:b/>
          <w:sz w:val="24"/>
          <w:szCs w:val="24"/>
        </w:rPr>
        <w:t>8201</w:t>
      </w:r>
      <w:r w:rsidR="0089265E">
        <w:rPr>
          <w:rFonts w:ascii="Times New Roman" w:hAnsi="Times New Roman" w:cs="Times New Roman"/>
          <w:b/>
          <w:sz w:val="24"/>
          <w:szCs w:val="24"/>
        </w:rPr>
        <w:t xml:space="preserve"> del </w:t>
      </w:r>
      <w:r w:rsidR="00AE3038">
        <w:rPr>
          <w:rFonts w:ascii="Times New Roman" w:hAnsi="Times New Roman" w:cs="Times New Roman"/>
          <w:b/>
          <w:sz w:val="24"/>
          <w:szCs w:val="24"/>
        </w:rPr>
        <w:t>1</w:t>
      </w:r>
      <w:r w:rsidR="0089265E">
        <w:rPr>
          <w:rFonts w:ascii="Times New Roman" w:hAnsi="Times New Roman" w:cs="Times New Roman"/>
          <w:b/>
          <w:sz w:val="24"/>
          <w:szCs w:val="24"/>
        </w:rPr>
        <w:t>/</w:t>
      </w:r>
      <w:r w:rsidR="00AE3038">
        <w:rPr>
          <w:rFonts w:ascii="Times New Roman" w:hAnsi="Times New Roman" w:cs="Times New Roman"/>
          <w:b/>
          <w:sz w:val="24"/>
          <w:szCs w:val="24"/>
        </w:rPr>
        <w:t>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AE3038">
        <w:rPr>
          <w:rFonts w:ascii="Times New Roman" w:hAnsi="Times New Roman" w:cs="Times New Roman"/>
          <w:b/>
          <w:sz w:val="24"/>
          <w:szCs w:val="24"/>
        </w:rPr>
        <w:t>Vinciguerra</w:t>
      </w:r>
      <w:r>
        <w:rPr>
          <w:rFonts w:ascii="Times New Roman" w:hAnsi="Times New Roman" w:cs="Times New Roman"/>
          <w:b/>
          <w:sz w:val="24"/>
          <w:szCs w:val="24"/>
        </w:rPr>
        <w:t xml:space="preserve"> – Est. </w:t>
      </w:r>
      <w:r w:rsidR="00AE3038">
        <w:rPr>
          <w:rFonts w:ascii="Times New Roman" w:hAnsi="Times New Roman" w:cs="Times New Roman"/>
          <w:b/>
          <w:sz w:val="24"/>
          <w:szCs w:val="24"/>
        </w:rPr>
        <w:t>Arzillo</w:t>
      </w:r>
      <w:r>
        <w:rPr>
          <w:rFonts w:ascii="Times New Roman" w:hAnsi="Times New Roman" w:cs="Times New Roman"/>
          <w:b/>
          <w:sz w:val="24"/>
          <w:szCs w:val="24"/>
        </w:rPr>
        <w:t xml:space="preserve"> – Ric. </w:t>
      </w:r>
      <w:r w:rsidR="00AE3038">
        <w:rPr>
          <w:rFonts w:ascii="Times New Roman" w:hAnsi="Times New Roman" w:cs="Times New Roman"/>
          <w:b/>
          <w:sz w:val="24"/>
          <w:szCs w:val="24"/>
        </w:rPr>
        <w:t>C.</w:t>
      </w:r>
      <w:r w:rsidR="006E446B">
        <w:rPr>
          <w:rFonts w:ascii="Times New Roman" w:hAnsi="Times New Roman" w:cs="Times New Roman"/>
          <w:b/>
          <w:sz w:val="24"/>
          <w:szCs w:val="24"/>
        </w:rPr>
        <w:t xml:space="preserve"> c. </w:t>
      </w:r>
      <w:r w:rsidR="00AE3038">
        <w:rPr>
          <w:rFonts w:ascii="Times New Roman" w:hAnsi="Times New Roman" w:cs="Times New Roman"/>
          <w:b/>
          <w:sz w:val="24"/>
          <w:szCs w:val="24"/>
        </w:rPr>
        <w:t>Ministero dell’Ambiente</w:t>
      </w:r>
    </w:p>
    <w:p w:rsidR="009B68AE" w:rsidRDefault="009B68AE" w:rsidP="0089265E">
      <w:pPr>
        <w:jc w:val="both"/>
        <w:rPr>
          <w:rFonts w:ascii="Times New Roman" w:hAnsi="Times New Roman" w:cs="Times New Roman"/>
          <w:b/>
          <w:sz w:val="24"/>
          <w:szCs w:val="24"/>
        </w:rPr>
      </w:pPr>
    </w:p>
    <w:p w:rsidR="00E803E3" w:rsidRDefault="00AE3038" w:rsidP="0089265E">
      <w:pPr>
        <w:jc w:val="both"/>
        <w:rPr>
          <w:rFonts w:ascii="Times New Roman" w:hAnsi="Times New Roman" w:cs="Times New Roman"/>
          <w:sz w:val="24"/>
          <w:szCs w:val="24"/>
        </w:rPr>
      </w:pPr>
      <w:r>
        <w:rPr>
          <w:rFonts w:ascii="Times New Roman" w:hAnsi="Times New Roman" w:cs="Times New Roman"/>
          <w:b/>
          <w:sz w:val="24"/>
          <w:szCs w:val="24"/>
        </w:rPr>
        <w:t>Vas e Via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 xml:space="preserve">rispetto del principio di partecipazione – Convenzione di </w:t>
      </w:r>
      <w:proofErr w:type="spellStart"/>
      <w:r>
        <w:rPr>
          <w:rFonts w:ascii="Times New Roman" w:hAnsi="Times New Roman" w:cs="Times New Roman"/>
          <w:sz w:val="24"/>
          <w:szCs w:val="24"/>
        </w:rPr>
        <w:t>Aahrus</w:t>
      </w:r>
      <w:proofErr w:type="spellEnd"/>
      <w:r>
        <w:rPr>
          <w:rFonts w:ascii="Times New Roman" w:hAnsi="Times New Roman" w:cs="Times New Roman"/>
          <w:sz w:val="24"/>
          <w:szCs w:val="24"/>
        </w:rPr>
        <w:t>.</w:t>
      </w:r>
    </w:p>
    <w:p w:rsidR="00343DAE" w:rsidRDefault="00343DAE" w:rsidP="0089265E">
      <w:pPr>
        <w:jc w:val="both"/>
        <w:rPr>
          <w:rFonts w:ascii="Times New Roman" w:hAnsi="Times New Roman" w:cs="Times New Roman"/>
          <w:sz w:val="24"/>
          <w:szCs w:val="24"/>
        </w:rPr>
      </w:pPr>
    </w:p>
    <w:p w:rsidR="00974D5C" w:rsidRPr="00974D5C" w:rsidRDefault="00974D5C" w:rsidP="00974D5C">
      <w:pPr>
        <w:jc w:val="both"/>
        <w:rPr>
          <w:rFonts w:ascii="Times New Roman" w:hAnsi="Times New Roman" w:cs="Times New Roman"/>
          <w:i/>
          <w:sz w:val="24"/>
          <w:szCs w:val="24"/>
        </w:rPr>
      </w:pPr>
      <w:r>
        <w:rPr>
          <w:rFonts w:ascii="Times New Roman" w:hAnsi="Times New Roman" w:cs="Times New Roman"/>
          <w:i/>
          <w:sz w:val="24"/>
          <w:szCs w:val="24"/>
        </w:rPr>
        <w:t xml:space="preserve">Le </w:t>
      </w:r>
      <w:r w:rsidRPr="00974D5C">
        <w:rPr>
          <w:rFonts w:ascii="Times New Roman" w:hAnsi="Times New Roman" w:cs="Times New Roman"/>
          <w:i/>
          <w:sz w:val="24"/>
          <w:szCs w:val="24"/>
        </w:rPr>
        <w:t>modalità di pubbli</w:t>
      </w:r>
      <w:bookmarkStart w:id="0" w:name="_GoBack"/>
      <w:bookmarkEnd w:id="0"/>
      <w:r w:rsidRPr="00974D5C">
        <w:rPr>
          <w:rFonts w:ascii="Times New Roman" w:hAnsi="Times New Roman" w:cs="Times New Roman"/>
          <w:i/>
          <w:sz w:val="24"/>
          <w:szCs w:val="24"/>
        </w:rPr>
        <w:t>cazione dell’annuncio relativo alla domanda di pronuncia di compatibilità ambientale</w:t>
      </w:r>
      <w:r>
        <w:rPr>
          <w:rFonts w:ascii="Times New Roman" w:hAnsi="Times New Roman" w:cs="Times New Roman"/>
          <w:i/>
          <w:sz w:val="24"/>
          <w:szCs w:val="24"/>
        </w:rPr>
        <w:t xml:space="preserve"> </w:t>
      </w:r>
      <w:r w:rsidR="00DF24EA">
        <w:rPr>
          <w:rFonts w:ascii="Times New Roman" w:hAnsi="Times New Roman" w:cs="Times New Roman"/>
          <w:i/>
          <w:sz w:val="24"/>
          <w:szCs w:val="24"/>
        </w:rPr>
        <w:t xml:space="preserve">ex art. 24 comma 2 del TUA </w:t>
      </w:r>
      <w:r>
        <w:rPr>
          <w:rFonts w:ascii="Times New Roman" w:hAnsi="Times New Roman" w:cs="Times New Roman"/>
          <w:i/>
          <w:sz w:val="24"/>
          <w:szCs w:val="24"/>
        </w:rPr>
        <w:t xml:space="preserve">sono rispettate nel momento in cui </w:t>
      </w:r>
      <w:r w:rsidRPr="00974D5C">
        <w:rPr>
          <w:rFonts w:ascii="Times New Roman" w:hAnsi="Times New Roman" w:cs="Times New Roman"/>
          <w:i/>
          <w:sz w:val="24"/>
          <w:szCs w:val="24"/>
        </w:rPr>
        <w:t xml:space="preserve">la pubblicazione </w:t>
      </w:r>
      <w:r>
        <w:rPr>
          <w:rFonts w:ascii="Times New Roman" w:hAnsi="Times New Roman" w:cs="Times New Roman"/>
          <w:i/>
          <w:sz w:val="24"/>
          <w:szCs w:val="24"/>
        </w:rPr>
        <w:t>sia</w:t>
      </w:r>
      <w:r w:rsidRPr="00974D5C">
        <w:rPr>
          <w:rFonts w:ascii="Times New Roman" w:hAnsi="Times New Roman" w:cs="Times New Roman"/>
          <w:i/>
          <w:sz w:val="24"/>
          <w:szCs w:val="24"/>
        </w:rPr>
        <w:t xml:space="preserve"> contestuale alla presentazione dell’istanza e, nel caso di </w:t>
      </w:r>
      <w:r>
        <w:rPr>
          <w:rFonts w:ascii="Times New Roman" w:hAnsi="Times New Roman" w:cs="Times New Roman"/>
          <w:i/>
          <w:sz w:val="24"/>
          <w:szCs w:val="24"/>
        </w:rPr>
        <w:t>progetti di competenza statale, sia eseguita</w:t>
      </w:r>
      <w:r w:rsidRPr="00974D5C">
        <w:rPr>
          <w:rFonts w:ascii="Times New Roman" w:hAnsi="Times New Roman" w:cs="Times New Roman"/>
          <w:i/>
          <w:sz w:val="24"/>
          <w:szCs w:val="24"/>
        </w:rPr>
        <w:t xml:space="preserve"> su un quotidiano a diffusione nazionale </w:t>
      </w:r>
      <w:proofErr w:type="spellStart"/>
      <w:r w:rsidR="00DF24EA">
        <w:rPr>
          <w:rFonts w:ascii="Times New Roman" w:hAnsi="Times New Roman" w:cs="Times New Roman"/>
          <w:i/>
          <w:sz w:val="24"/>
          <w:szCs w:val="24"/>
        </w:rPr>
        <w:t>nonchè</w:t>
      </w:r>
      <w:proofErr w:type="spellEnd"/>
      <w:r w:rsidRPr="00974D5C">
        <w:rPr>
          <w:rFonts w:ascii="Times New Roman" w:hAnsi="Times New Roman" w:cs="Times New Roman"/>
          <w:i/>
          <w:sz w:val="24"/>
          <w:szCs w:val="24"/>
        </w:rPr>
        <w:t xml:space="preserve"> su un quotidiano a diffusione regionale per ciascuna regione direttamente interessata</w:t>
      </w:r>
      <w:r>
        <w:rPr>
          <w:rFonts w:ascii="Times New Roman" w:hAnsi="Times New Roman" w:cs="Times New Roman"/>
          <w:i/>
          <w:sz w:val="24"/>
          <w:szCs w:val="24"/>
        </w:rPr>
        <w:t xml:space="preserve">, in tal modo è altresì garantita la funzione partecipativa garantita da questo obbligo di legge, come indicato dall’art. 6 della Convenzione di </w:t>
      </w:r>
      <w:proofErr w:type="spellStart"/>
      <w:r>
        <w:rPr>
          <w:rFonts w:ascii="Times New Roman" w:hAnsi="Times New Roman" w:cs="Times New Roman"/>
          <w:i/>
          <w:sz w:val="24"/>
          <w:szCs w:val="24"/>
        </w:rPr>
        <w:t>Aahrus</w:t>
      </w:r>
      <w:proofErr w:type="spellEnd"/>
      <w:r>
        <w:rPr>
          <w:rFonts w:ascii="Times New Roman" w:hAnsi="Times New Roman" w:cs="Times New Roman"/>
          <w:i/>
          <w:sz w:val="24"/>
          <w:szCs w:val="24"/>
        </w:rPr>
        <w:t xml:space="preserve"> ratificata in Italia dalla Legge n. 108/2001.</w:t>
      </w:r>
    </w:p>
    <w:p w:rsidR="00964314" w:rsidRDefault="00964314" w:rsidP="0089265E">
      <w:pPr>
        <w:jc w:val="both"/>
        <w:rPr>
          <w:rFonts w:ascii="Times New Roman" w:hAnsi="Times New Roman" w:cs="Times New Roman"/>
          <w:i/>
          <w:sz w:val="24"/>
          <w:szCs w:val="24"/>
        </w:rPr>
      </w:pPr>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Considerato in fatto e in diritto:</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xml:space="preserve">1. I </w:t>
      </w:r>
      <w:r>
        <w:rPr>
          <w:rFonts w:ascii="Times New Roman" w:hAnsi="Times New Roman" w:cs="Times New Roman"/>
          <w:sz w:val="24"/>
          <w:szCs w:val="24"/>
        </w:rPr>
        <w:t>C.</w:t>
      </w:r>
      <w:r w:rsidRPr="00AE3038">
        <w:rPr>
          <w:rFonts w:ascii="Times New Roman" w:hAnsi="Times New Roman" w:cs="Times New Roman"/>
          <w:sz w:val="24"/>
          <w:szCs w:val="24"/>
        </w:rPr>
        <w:t xml:space="preserve"> impugnano il decreto </w:t>
      </w:r>
      <w:proofErr w:type="spellStart"/>
      <w:r w:rsidRPr="00AE3038">
        <w:rPr>
          <w:rFonts w:ascii="Times New Roman" w:hAnsi="Times New Roman" w:cs="Times New Roman"/>
          <w:sz w:val="24"/>
          <w:szCs w:val="24"/>
        </w:rPr>
        <w:t>prot</w:t>
      </w:r>
      <w:proofErr w:type="spellEnd"/>
      <w:r w:rsidRPr="00AE3038">
        <w:rPr>
          <w:rFonts w:ascii="Times New Roman" w:hAnsi="Times New Roman" w:cs="Times New Roman"/>
          <w:sz w:val="24"/>
          <w:szCs w:val="24"/>
        </w:rPr>
        <w:t xml:space="preserve">. DVA DEC - 2011 – 0000126 del 29 marzo 2011 emanato dal Ministro dell'Ambiente e della Tutela del Territorio e del Mare, di concerto con il Ministro per i Beni e le Attività Culturali, recante un giudizio favorevole, con prescrizioni, in ordine all’impatto ambientale del programma dei lavori da effettuarsi nell’area del “permesso di ricerca idrocarburi d505 BR-EL” presentato da </w:t>
      </w:r>
      <w:r>
        <w:rPr>
          <w:rFonts w:ascii="Times New Roman" w:hAnsi="Times New Roman" w:cs="Times New Roman"/>
          <w:sz w:val="24"/>
          <w:szCs w:val="24"/>
        </w:rPr>
        <w:t>P.</w:t>
      </w:r>
      <w:r w:rsidRPr="00AE3038">
        <w:rPr>
          <w:rFonts w:ascii="Times New Roman" w:hAnsi="Times New Roman" w:cs="Times New Roman"/>
          <w:sz w:val="24"/>
          <w:szCs w:val="24"/>
        </w:rPr>
        <w:t xml:space="preserve"> s.r.l., limitatamente alla fase della ricerca sismica con la tecnica cd. di “air </w:t>
      </w:r>
      <w:proofErr w:type="spellStart"/>
      <w:r w:rsidRPr="00AE3038">
        <w:rPr>
          <w:rFonts w:ascii="Times New Roman" w:hAnsi="Times New Roman" w:cs="Times New Roman"/>
          <w:sz w:val="24"/>
          <w:szCs w:val="24"/>
        </w:rPr>
        <w:t>gun</w:t>
      </w:r>
      <w:proofErr w:type="spellEnd"/>
      <w:r w:rsidRPr="00AE3038">
        <w:rPr>
          <w:rFonts w:ascii="Times New Roman" w:hAnsi="Times New Roman" w:cs="Times New Roman"/>
          <w:sz w:val="24"/>
          <w:szCs w:val="24"/>
        </w:rPr>
        <w:t>”, unitamente agli atti presupposti e connessi (tra cui gli atti adottati dalla Commissione tecnica di verifica dell’impatto ambientale VIA/VAS e il parere favorevole con prescrizioni del Ministero per i Beni e le Attività Culturali).</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Nel presente giudizio viene in rilievo solamente la cd. “ispezione sismica”, propedeutica all’eventuale successiva fase di perforazione di un pozzo esplorativo. Detta attività di rilevamento geosismico verrebbe svolta in un’area situata a circa 40 Km da Punta Penna e a circa 26 Km dalle isole Tremiti.</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xml:space="preserve">I Comuni ricorrenti muovono dalla considerazione che l’intervento in questione si svolgerà in un sito che dista poche decine di chilometri dal proprio territorio, che ne subirà i relativi effetti; e affermano che la tecnica dell’Air </w:t>
      </w:r>
      <w:proofErr w:type="spellStart"/>
      <w:r w:rsidRPr="00AE3038">
        <w:rPr>
          <w:rFonts w:ascii="Times New Roman" w:hAnsi="Times New Roman" w:cs="Times New Roman"/>
          <w:sz w:val="24"/>
          <w:szCs w:val="24"/>
        </w:rPr>
        <w:t>Gun</w:t>
      </w:r>
      <w:proofErr w:type="spellEnd"/>
      <w:r w:rsidRPr="00AE3038">
        <w:rPr>
          <w:rFonts w:ascii="Times New Roman" w:hAnsi="Times New Roman" w:cs="Times New Roman"/>
          <w:sz w:val="24"/>
          <w:szCs w:val="24"/>
        </w:rPr>
        <w:t xml:space="preserve"> - consistente nello sparare nei fondali marini raffiche di aria compressa allo scopo di ottenere onde riflesse dalle quali ricavare dei dati utili a ricostruire la composizione del sottosuolo - è idonea a provocare consistenti danni all’ecosistema marino e una connessa forte diminuzione del pescato in un raggio di cinquanta/sessanta miglia nautiche. Essi fanno anche riferimento ai danni della successiva fase di perforazione, che comporterebbe la potenziale diffusione di sostanze tossiche nel particolare contesto del Mar Adriatico (chiuso e a fondale basso).</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Essi propongono cinque motivi di ricorso così rubricati:</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i/>
          <w:iCs/>
          <w:sz w:val="24"/>
          <w:szCs w:val="24"/>
        </w:rPr>
        <w:t xml:space="preserve">1) violazione e falsa applicazione di legge (artt. 6 e ss. D. </w:t>
      </w:r>
      <w:proofErr w:type="spellStart"/>
      <w:r w:rsidRPr="00AE3038">
        <w:rPr>
          <w:rFonts w:ascii="Times New Roman" w:hAnsi="Times New Roman" w:cs="Times New Roman"/>
          <w:i/>
          <w:iCs/>
          <w:sz w:val="24"/>
          <w:szCs w:val="24"/>
        </w:rPr>
        <w:t>Lgs</w:t>
      </w:r>
      <w:proofErr w:type="spellEnd"/>
      <w:r w:rsidRPr="00AE3038">
        <w:rPr>
          <w:rFonts w:ascii="Times New Roman" w:hAnsi="Times New Roman" w:cs="Times New Roman"/>
          <w:i/>
          <w:iCs/>
          <w:sz w:val="24"/>
          <w:szCs w:val="24"/>
        </w:rPr>
        <w:t>. n. 152/2006); violazione e falsa applicazione di legge (art. 6 L. n. 1/91); violazione dei principi della Direttiva CE n. 85/337; eccesso di potere per sviamento (circolare del Ministero dell’Ambiente 7 ottobre 1996, n. 15208); accesso di potere per contraddittorietà; eccesso di potere per travisamento; eccesso di potere per violazione ed erronea applicazione dei presupposti (Direttiva CE n. 85/337); illogicità manifesta;</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i/>
          <w:iCs/>
          <w:sz w:val="24"/>
          <w:szCs w:val="24"/>
        </w:rPr>
        <w:t>2) violazione del principio di precauzione; violazione di legge (articoli 11 e 117, comma 1, della Costituzione; art. 3, comma 3 del TUE; art. 191, par. 2, del TFUE; art. 1 della L. n. 241/1990; eccesso di potere per difetto di istruttoria e per difetto di motivazione;</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i/>
          <w:iCs/>
          <w:sz w:val="24"/>
          <w:szCs w:val="24"/>
        </w:rPr>
        <w:t xml:space="preserve">3) violazione e falsa applicazione di legge (art. 24, comma 2, del D. </w:t>
      </w:r>
      <w:proofErr w:type="spellStart"/>
      <w:r w:rsidRPr="00AE3038">
        <w:rPr>
          <w:rFonts w:ascii="Times New Roman" w:hAnsi="Times New Roman" w:cs="Times New Roman"/>
          <w:i/>
          <w:iCs/>
          <w:sz w:val="24"/>
          <w:szCs w:val="24"/>
        </w:rPr>
        <w:t>Lgs</w:t>
      </w:r>
      <w:proofErr w:type="spellEnd"/>
      <w:r w:rsidRPr="00AE3038">
        <w:rPr>
          <w:rFonts w:ascii="Times New Roman" w:hAnsi="Times New Roman" w:cs="Times New Roman"/>
          <w:i/>
          <w:iCs/>
          <w:sz w:val="24"/>
          <w:szCs w:val="24"/>
        </w:rPr>
        <w:t>. n. 152/2006); eccesso di potere per sviamento; eccesso di potere per difetto ed erronea istruttoria; eccesso di potere per travisamento; eccesso di potere per violazione ed erronea applicazione dei presupposti; illegittimità derivata;</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lastRenderedPageBreak/>
        <w:t xml:space="preserve">4) </w:t>
      </w:r>
      <w:r w:rsidRPr="00AE3038">
        <w:rPr>
          <w:rFonts w:ascii="Times New Roman" w:hAnsi="Times New Roman" w:cs="Times New Roman"/>
          <w:i/>
          <w:iCs/>
          <w:sz w:val="24"/>
          <w:szCs w:val="24"/>
        </w:rPr>
        <w:t xml:space="preserve">violazione e falsa applicazione di legge (artt. 53, 55, 300, 301 e 304 del D. </w:t>
      </w:r>
      <w:proofErr w:type="spellStart"/>
      <w:r w:rsidRPr="00AE3038">
        <w:rPr>
          <w:rFonts w:ascii="Times New Roman" w:hAnsi="Times New Roman" w:cs="Times New Roman"/>
          <w:i/>
          <w:iCs/>
          <w:sz w:val="24"/>
          <w:szCs w:val="24"/>
        </w:rPr>
        <w:t>Lgs</w:t>
      </w:r>
      <w:proofErr w:type="spellEnd"/>
      <w:r w:rsidRPr="00AE3038">
        <w:rPr>
          <w:rFonts w:ascii="Times New Roman" w:hAnsi="Times New Roman" w:cs="Times New Roman"/>
          <w:i/>
          <w:iCs/>
          <w:sz w:val="24"/>
          <w:szCs w:val="24"/>
        </w:rPr>
        <w:t xml:space="preserve">. n. 152/2006); violazione e falsa applicazione di legge (artt. 6 e 23 e ss. del D. </w:t>
      </w:r>
      <w:proofErr w:type="spellStart"/>
      <w:r w:rsidRPr="00AE3038">
        <w:rPr>
          <w:rFonts w:ascii="Times New Roman" w:hAnsi="Times New Roman" w:cs="Times New Roman"/>
          <w:i/>
          <w:iCs/>
          <w:sz w:val="24"/>
          <w:szCs w:val="24"/>
        </w:rPr>
        <w:t>Lgs</w:t>
      </w:r>
      <w:proofErr w:type="spellEnd"/>
      <w:r w:rsidRPr="00AE3038">
        <w:rPr>
          <w:rFonts w:ascii="Times New Roman" w:hAnsi="Times New Roman" w:cs="Times New Roman"/>
          <w:i/>
          <w:iCs/>
          <w:sz w:val="24"/>
          <w:szCs w:val="24"/>
        </w:rPr>
        <w:t>. n. 152/2006); violazione e falsa applicazione di legge (DPCM 27.12.1988 n. 16100); violazione di legge (art. 3 della L. n. 241/1990); eccesso di potere per difetto di motivazione e per motivazione contraddittoria; difetto di istruttoria; illegittimità derivata; eccesso di potere per violazione ed erronea applicazione dei presupposti; violazione dell’art. 174, par. 2 del Trattato CE;</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i/>
          <w:iCs/>
          <w:sz w:val="24"/>
          <w:szCs w:val="24"/>
        </w:rPr>
        <w:t xml:space="preserve">5) violazione e falsa applicazione di legge (artt. 23 e 24 del D. </w:t>
      </w:r>
      <w:proofErr w:type="spellStart"/>
      <w:r w:rsidRPr="00AE3038">
        <w:rPr>
          <w:rFonts w:ascii="Times New Roman" w:hAnsi="Times New Roman" w:cs="Times New Roman"/>
          <w:i/>
          <w:iCs/>
          <w:sz w:val="24"/>
          <w:szCs w:val="24"/>
        </w:rPr>
        <w:t>Lgs</w:t>
      </w:r>
      <w:proofErr w:type="spellEnd"/>
      <w:r w:rsidRPr="00AE3038">
        <w:rPr>
          <w:rFonts w:ascii="Times New Roman" w:hAnsi="Times New Roman" w:cs="Times New Roman"/>
          <w:i/>
          <w:iCs/>
          <w:sz w:val="24"/>
          <w:szCs w:val="24"/>
        </w:rPr>
        <w:t xml:space="preserve"> n. 152/2006); violazione e falsa applicazione di legge (art. 7 del DPCM 27.12.1988); eccesso di potere per difetto di istruttoria; eccesso di potere per sviamento; eccesso di potere per difetto di motivazione; illegittimità derivata.</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xml:space="preserve">2. Si sono costituiti in giudizio il Ministero dell'Ambiente e della Tutela del Territorio e del Mare, il Ministero per i Beni e le </w:t>
      </w:r>
      <w:proofErr w:type="spellStart"/>
      <w:r w:rsidRPr="00AE3038">
        <w:rPr>
          <w:rFonts w:ascii="Times New Roman" w:hAnsi="Times New Roman" w:cs="Times New Roman"/>
          <w:sz w:val="24"/>
          <w:szCs w:val="24"/>
        </w:rPr>
        <w:t>Attivita'</w:t>
      </w:r>
      <w:proofErr w:type="spellEnd"/>
      <w:r w:rsidRPr="00AE3038">
        <w:rPr>
          <w:rFonts w:ascii="Times New Roman" w:hAnsi="Times New Roman" w:cs="Times New Roman"/>
          <w:sz w:val="24"/>
          <w:szCs w:val="24"/>
        </w:rPr>
        <w:t xml:space="preserve"> Culturali, il Ministero dello Sviluppo Economico e della Commissione Tecnica di Verifica dell'Impatto Ambientale Via/Vas, nonché </w:t>
      </w:r>
      <w:proofErr w:type="spellStart"/>
      <w:r w:rsidRPr="00AE3038">
        <w:rPr>
          <w:rFonts w:ascii="Times New Roman" w:hAnsi="Times New Roman" w:cs="Times New Roman"/>
          <w:sz w:val="24"/>
          <w:szCs w:val="24"/>
        </w:rPr>
        <w:t>Soc</w:t>
      </w:r>
      <w:proofErr w:type="spellEnd"/>
      <w:r w:rsidRPr="00AE3038">
        <w:rPr>
          <w:rFonts w:ascii="Times New Roman" w:hAnsi="Times New Roman" w:cs="Times New Roman"/>
          <w:sz w:val="24"/>
          <w:szCs w:val="24"/>
        </w:rPr>
        <w:t xml:space="preserve">. </w:t>
      </w:r>
      <w:proofErr w:type="spellStart"/>
      <w:r w:rsidRPr="00AE3038">
        <w:rPr>
          <w:rFonts w:ascii="Times New Roman" w:hAnsi="Times New Roman" w:cs="Times New Roman"/>
          <w:sz w:val="24"/>
          <w:szCs w:val="24"/>
        </w:rPr>
        <w:t>Petroceltic</w:t>
      </w:r>
      <w:proofErr w:type="spellEnd"/>
      <w:r w:rsidRPr="00AE3038">
        <w:rPr>
          <w:rFonts w:ascii="Times New Roman" w:hAnsi="Times New Roman" w:cs="Times New Roman"/>
          <w:sz w:val="24"/>
          <w:szCs w:val="24"/>
        </w:rPr>
        <w:t xml:space="preserve"> Italia Srl, resistendo al ricorso.</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3. Il ricorso è stato chiamato per la discussione all’udienza pubblica del 7 giugno 2012, e quindi trattenuto in decisione.</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4. Va esaminato anzitutto il terzo motivo di ricorso, che attiene alle modalità di pubblicazione dell’annuncio relativo alla domanda di pronuncia di compatibilità ambientale presentata in data 6 aprile 2009.</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Detta domanda è stata pubblicata:</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in data 8 aprile 2009 sui quotidiani “Il Tempo” e “Il Riformista”;</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in data 14 aprile 2009 sul quotidiano “Il Tempo – Edizione Abruzzo”;</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in data 11 marzo 2010 sul quotidiano “Il Quotidiano di Termoli”.</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xml:space="preserve">Secondo l’art. 24 del D. </w:t>
      </w:r>
      <w:proofErr w:type="spellStart"/>
      <w:r w:rsidRPr="00AE3038">
        <w:rPr>
          <w:rFonts w:ascii="Times New Roman" w:hAnsi="Times New Roman" w:cs="Times New Roman"/>
          <w:sz w:val="24"/>
          <w:szCs w:val="24"/>
        </w:rPr>
        <w:t>Lgs</w:t>
      </w:r>
      <w:proofErr w:type="spellEnd"/>
      <w:r w:rsidRPr="00AE3038">
        <w:rPr>
          <w:rFonts w:ascii="Times New Roman" w:hAnsi="Times New Roman" w:cs="Times New Roman"/>
          <w:sz w:val="24"/>
          <w:szCs w:val="24"/>
        </w:rPr>
        <w:t xml:space="preserve">. n. 152/2006 (nel testo vigente </w:t>
      </w:r>
      <w:proofErr w:type="spellStart"/>
      <w:r w:rsidRPr="00AE3038">
        <w:rPr>
          <w:rFonts w:ascii="Times New Roman" w:hAnsi="Times New Roman" w:cs="Times New Roman"/>
          <w:i/>
          <w:iCs/>
          <w:sz w:val="24"/>
          <w:szCs w:val="24"/>
        </w:rPr>
        <w:t>ratione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temporis</w:t>
      </w:r>
      <w:proofErr w:type="spellEnd"/>
      <w:r w:rsidRPr="00AE3038">
        <w:rPr>
          <w:rFonts w:ascii="Times New Roman" w:hAnsi="Times New Roman" w:cs="Times New Roman"/>
          <w:sz w:val="24"/>
          <w:szCs w:val="24"/>
        </w:rPr>
        <w:t>), la pubblicazione deve essere contestuale alla presentazione dell’istanza (comma 1) e, nel caso di progetti di competenza statale, deve essere eseguita “su un quotidiano a diffusione nazionale e su un quotidiano a diffusione regionale per ciascuna regione direttamente interessata” (comma 2).</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I Comuni ricorrenti sostengono che la pubblicazione effettuata non è pienamente conforme a tale disposizione.</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 xml:space="preserve">La censura è fondata con riferimento alla pubblicazione sul “Quotidiano di Termoli”, per l’assorbente considerazione che essa è avvenuta non contestualmente alla presentazione della domanda, ma successivamente alla data (28.7.2009) in cui è stato reso il parere della Commissione VIA/VAS, con ciò compromettendo seriamente - con ogni evidenza - la funzione partecipativa della stessa, avuto anche riguardo a quanto sancito dalla Convenzione di </w:t>
      </w:r>
      <w:proofErr w:type="spellStart"/>
      <w:r w:rsidRPr="00AE3038">
        <w:rPr>
          <w:rFonts w:ascii="Times New Roman" w:hAnsi="Times New Roman" w:cs="Times New Roman"/>
          <w:sz w:val="24"/>
          <w:szCs w:val="24"/>
        </w:rPr>
        <w:t>Aahrus</w:t>
      </w:r>
      <w:proofErr w:type="spellEnd"/>
      <w:r w:rsidRPr="00AE3038">
        <w:rPr>
          <w:rFonts w:ascii="Times New Roman" w:hAnsi="Times New Roman" w:cs="Times New Roman"/>
          <w:sz w:val="24"/>
          <w:szCs w:val="24"/>
        </w:rPr>
        <w:t>, ratificata dalla L. n. 108/2001, all’art. 6, comma 2, prima parte (“</w:t>
      </w:r>
      <w:proofErr w:type="spellStart"/>
      <w:r w:rsidRPr="00AE3038">
        <w:rPr>
          <w:rFonts w:ascii="Times New Roman" w:hAnsi="Times New Roman" w:cs="Times New Roman"/>
          <w:i/>
          <w:iCs/>
          <w:sz w:val="24"/>
          <w:szCs w:val="24"/>
        </w:rPr>
        <w:t>Lorsqu'un</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processus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décisionnel</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touchant</w:t>
      </w:r>
      <w:proofErr w:type="spellEnd"/>
      <w:r w:rsidRPr="00AE3038">
        <w:rPr>
          <w:rFonts w:ascii="Times New Roman" w:hAnsi="Times New Roman" w:cs="Times New Roman"/>
          <w:i/>
          <w:iCs/>
          <w:sz w:val="24"/>
          <w:szCs w:val="24"/>
        </w:rPr>
        <w:t xml:space="preserve"> l'</w:t>
      </w:r>
      <w:proofErr w:type="spellStart"/>
      <w:r w:rsidRPr="00AE3038">
        <w:rPr>
          <w:rFonts w:ascii="Times New Roman" w:hAnsi="Times New Roman" w:cs="Times New Roman"/>
          <w:i/>
          <w:iCs/>
          <w:sz w:val="24"/>
          <w:szCs w:val="24"/>
        </w:rPr>
        <w:t>environnement</w:t>
      </w:r>
      <w:proofErr w:type="spellEnd"/>
      <w:r w:rsidRPr="00AE3038">
        <w:rPr>
          <w:rFonts w:ascii="Times New Roman" w:hAnsi="Times New Roman" w:cs="Times New Roman"/>
          <w:i/>
          <w:iCs/>
          <w:sz w:val="24"/>
          <w:szCs w:val="24"/>
        </w:rPr>
        <w:t xml:space="preserve"> est engagé, le public concerné est </w:t>
      </w:r>
      <w:proofErr w:type="spellStart"/>
      <w:r w:rsidRPr="00AE3038">
        <w:rPr>
          <w:rFonts w:ascii="Times New Roman" w:hAnsi="Times New Roman" w:cs="Times New Roman"/>
          <w:i/>
          <w:iCs/>
          <w:sz w:val="24"/>
          <w:szCs w:val="24"/>
        </w:rPr>
        <w:t>informé</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comme</w:t>
      </w:r>
      <w:proofErr w:type="spellEnd"/>
      <w:r w:rsidRPr="00AE3038">
        <w:rPr>
          <w:rFonts w:ascii="Times New Roman" w:hAnsi="Times New Roman" w:cs="Times New Roman"/>
          <w:i/>
          <w:iCs/>
          <w:sz w:val="24"/>
          <w:szCs w:val="24"/>
        </w:rPr>
        <w:t xml:space="preserve"> il </w:t>
      </w:r>
      <w:proofErr w:type="spellStart"/>
      <w:r w:rsidRPr="00AE3038">
        <w:rPr>
          <w:rFonts w:ascii="Times New Roman" w:hAnsi="Times New Roman" w:cs="Times New Roman"/>
          <w:i/>
          <w:iCs/>
          <w:sz w:val="24"/>
          <w:szCs w:val="24"/>
        </w:rPr>
        <w:t>convient</w:t>
      </w:r>
      <w:proofErr w:type="spellEnd"/>
      <w:r w:rsidRPr="00AE3038">
        <w:rPr>
          <w:rFonts w:ascii="Times New Roman" w:hAnsi="Times New Roman" w:cs="Times New Roman"/>
          <w:i/>
          <w:iCs/>
          <w:sz w:val="24"/>
          <w:szCs w:val="24"/>
        </w:rPr>
        <w:t xml:space="preserve">, de </w:t>
      </w:r>
      <w:proofErr w:type="spellStart"/>
      <w:r w:rsidRPr="00AE3038">
        <w:rPr>
          <w:rFonts w:ascii="Times New Roman" w:hAnsi="Times New Roman" w:cs="Times New Roman"/>
          <w:i/>
          <w:iCs/>
          <w:sz w:val="24"/>
          <w:szCs w:val="24"/>
        </w:rPr>
        <w:t>manière</w:t>
      </w:r>
      <w:proofErr w:type="spellEnd"/>
      <w:r w:rsidRPr="00AE3038">
        <w:rPr>
          <w:rFonts w:ascii="Times New Roman" w:hAnsi="Times New Roman" w:cs="Times New Roman"/>
          <w:i/>
          <w:iCs/>
          <w:sz w:val="24"/>
          <w:szCs w:val="24"/>
        </w:rPr>
        <w:t xml:space="preserve"> efficace et en </w:t>
      </w:r>
      <w:proofErr w:type="spellStart"/>
      <w:r w:rsidRPr="00AE3038">
        <w:rPr>
          <w:rFonts w:ascii="Times New Roman" w:hAnsi="Times New Roman" w:cs="Times New Roman"/>
          <w:i/>
          <w:iCs/>
          <w:sz w:val="24"/>
          <w:szCs w:val="24"/>
        </w:rPr>
        <w:t>temps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voulu</w:t>
      </w:r>
      <w:proofErr w:type="spellEnd"/>
      <w:r w:rsidRPr="00AE3038">
        <w:rPr>
          <w:rFonts w:ascii="Times New Roman" w:hAnsi="Times New Roman" w:cs="Times New Roman"/>
          <w:i/>
          <w:iCs/>
          <w:sz w:val="24"/>
          <w:szCs w:val="24"/>
        </w:rPr>
        <w:t xml:space="preserve">, par un </w:t>
      </w:r>
      <w:proofErr w:type="spellStart"/>
      <w:r w:rsidRPr="00AE3038">
        <w:rPr>
          <w:rFonts w:ascii="Times New Roman" w:hAnsi="Times New Roman" w:cs="Times New Roman"/>
          <w:i/>
          <w:iCs/>
          <w:sz w:val="24"/>
          <w:szCs w:val="24"/>
        </w:rPr>
        <w:t>avis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au</w:t>
      </w:r>
      <w:proofErr w:type="spellEnd"/>
      <w:r w:rsidRPr="00AE3038">
        <w:rPr>
          <w:rFonts w:ascii="Times New Roman" w:hAnsi="Times New Roman" w:cs="Times New Roman"/>
          <w:i/>
          <w:iCs/>
          <w:sz w:val="24"/>
          <w:szCs w:val="24"/>
        </w:rPr>
        <w:t xml:space="preserve"> public </w:t>
      </w:r>
      <w:proofErr w:type="spellStart"/>
      <w:r w:rsidRPr="00AE3038">
        <w:rPr>
          <w:rFonts w:ascii="Times New Roman" w:hAnsi="Times New Roman" w:cs="Times New Roman"/>
          <w:i/>
          <w:iCs/>
          <w:sz w:val="24"/>
          <w:szCs w:val="24"/>
        </w:rPr>
        <w:t>ou</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individuellement</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selon</w:t>
      </w:r>
      <w:proofErr w:type="spellEnd"/>
      <w:r w:rsidRPr="00AE3038">
        <w:rPr>
          <w:rFonts w:ascii="Times New Roman" w:hAnsi="Times New Roman" w:cs="Times New Roman"/>
          <w:i/>
          <w:iCs/>
          <w:sz w:val="24"/>
          <w:szCs w:val="24"/>
        </w:rPr>
        <w:t xml:space="preserve"> le </w:t>
      </w:r>
      <w:proofErr w:type="spellStart"/>
      <w:r w:rsidRPr="00AE3038">
        <w:rPr>
          <w:rFonts w:ascii="Times New Roman" w:hAnsi="Times New Roman" w:cs="Times New Roman"/>
          <w:i/>
          <w:iCs/>
          <w:sz w:val="24"/>
          <w:szCs w:val="24"/>
        </w:rPr>
        <w:t>cas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au</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début</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du</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processus</w:t>
      </w:r>
      <w:proofErr w:type="spellEnd"/>
      <w:r w:rsidRPr="00AE3038">
        <w:rPr>
          <w:rFonts w:ascii="Times New Roman" w:hAnsi="Times New Roman" w:cs="Times New Roman"/>
          <w:sz w:val="24"/>
          <w:szCs w:val="24"/>
        </w:rPr>
        <w:t>”) e all’art. 6, comma 4 (“</w:t>
      </w:r>
      <w:proofErr w:type="spellStart"/>
      <w:r w:rsidRPr="00AE3038">
        <w:rPr>
          <w:rFonts w:ascii="Times New Roman" w:hAnsi="Times New Roman" w:cs="Times New Roman"/>
          <w:i/>
          <w:iCs/>
          <w:sz w:val="24"/>
          <w:szCs w:val="24"/>
        </w:rPr>
        <w:t>Chaque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Partie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prend</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des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dispositions</w:t>
      </w:r>
      <w:proofErr w:type="spellEnd"/>
      <w:r w:rsidRPr="00AE3038">
        <w:rPr>
          <w:rFonts w:ascii="Times New Roman" w:hAnsi="Times New Roman" w:cs="Times New Roman"/>
          <w:i/>
          <w:iCs/>
          <w:sz w:val="24"/>
          <w:szCs w:val="24"/>
        </w:rPr>
        <w:t xml:space="preserve"> pour </w:t>
      </w:r>
      <w:proofErr w:type="spellStart"/>
      <w:r w:rsidRPr="00AE3038">
        <w:rPr>
          <w:rFonts w:ascii="Times New Roman" w:hAnsi="Times New Roman" w:cs="Times New Roman"/>
          <w:i/>
          <w:iCs/>
          <w:sz w:val="24"/>
          <w:szCs w:val="24"/>
        </w:rPr>
        <w:t>que</w:t>
      </w:r>
      <w:proofErr w:type="spellEnd"/>
      <w:r w:rsidRPr="00AE3038">
        <w:rPr>
          <w:rFonts w:ascii="Times New Roman" w:hAnsi="Times New Roman" w:cs="Times New Roman"/>
          <w:i/>
          <w:iCs/>
          <w:sz w:val="24"/>
          <w:szCs w:val="24"/>
        </w:rPr>
        <w:t xml:space="preserve"> la </w:t>
      </w:r>
      <w:proofErr w:type="spellStart"/>
      <w:r w:rsidRPr="00AE3038">
        <w:rPr>
          <w:rFonts w:ascii="Times New Roman" w:hAnsi="Times New Roman" w:cs="Times New Roman"/>
          <w:i/>
          <w:iCs/>
          <w:sz w:val="24"/>
          <w:szCs w:val="24"/>
        </w:rPr>
        <w:t>participation</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du</w:t>
      </w:r>
      <w:proofErr w:type="spellEnd"/>
      <w:r w:rsidRPr="00AE3038">
        <w:rPr>
          <w:rFonts w:ascii="Times New Roman" w:hAnsi="Times New Roman" w:cs="Times New Roman"/>
          <w:i/>
          <w:iCs/>
          <w:sz w:val="24"/>
          <w:szCs w:val="24"/>
        </w:rPr>
        <w:t xml:space="preserve"> public </w:t>
      </w:r>
      <w:proofErr w:type="spellStart"/>
      <w:r w:rsidRPr="00AE3038">
        <w:rPr>
          <w:rFonts w:ascii="Times New Roman" w:hAnsi="Times New Roman" w:cs="Times New Roman"/>
          <w:i/>
          <w:iCs/>
          <w:sz w:val="24"/>
          <w:szCs w:val="24"/>
        </w:rPr>
        <w:t>commence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au</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début</w:t>
      </w:r>
      <w:proofErr w:type="spellEnd"/>
      <w:r w:rsidRPr="00AE3038">
        <w:rPr>
          <w:rFonts w:ascii="Times New Roman" w:hAnsi="Times New Roman" w:cs="Times New Roman"/>
          <w:i/>
          <w:iCs/>
          <w:sz w:val="24"/>
          <w:szCs w:val="24"/>
        </w:rPr>
        <w:t xml:space="preserve"> de la </w:t>
      </w:r>
      <w:proofErr w:type="spellStart"/>
      <w:r w:rsidRPr="00AE3038">
        <w:rPr>
          <w:rFonts w:ascii="Times New Roman" w:hAnsi="Times New Roman" w:cs="Times New Roman"/>
          <w:i/>
          <w:iCs/>
          <w:sz w:val="24"/>
          <w:szCs w:val="24"/>
        </w:rPr>
        <w:t>procédure</w:t>
      </w:r>
      <w:proofErr w:type="spellEnd"/>
      <w:r w:rsidRPr="00AE3038">
        <w:rPr>
          <w:rFonts w:ascii="Times New Roman" w:hAnsi="Times New Roman" w:cs="Times New Roman"/>
          <w:i/>
          <w:iCs/>
          <w:sz w:val="24"/>
          <w:szCs w:val="24"/>
        </w:rPr>
        <w:t xml:space="preserve">, c'est-à-dire </w:t>
      </w:r>
      <w:proofErr w:type="spellStart"/>
      <w:r w:rsidRPr="00AE3038">
        <w:rPr>
          <w:rFonts w:ascii="Times New Roman" w:hAnsi="Times New Roman" w:cs="Times New Roman"/>
          <w:i/>
          <w:iCs/>
          <w:sz w:val="24"/>
          <w:szCs w:val="24"/>
        </w:rPr>
        <w:t>lorsque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toutes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les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options</w:t>
      </w:r>
      <w:proofErr w:type="spellEnd"/>
      <w:r w:rsidRPr="00AE3038">
        <w:rPr>
          <w:rFonts w:ascii="Times New Roman" w:hAnsi="Times New Roman" w:cs="Times New Roman"/>
          <w:i/>
          <w:iCs/>
          <w:sz w:val="24"/>
          <w:szCs w:val="24"/>
        </w:rPr>
        <w:t xml:space="preserve"> et </w:t>
      </w:r>
      <w:proofErr w:type="spellStart"/>
      <w:r w:rsidRPr="00AE3038">
        <w:rPr>
          <w:rFonts w:ascii="Times New Roman" w:hAnsi="Times New Roman" w:cs="Times New Roman"/>
          <w:i/>
          <w:iCs/>
          <w:sz w:val="24"/>
          <w:szCs w:val="24"/>
        </w:rPr>
        <w:t>solutions</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sont</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encore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possibles</w:t>
      </w:r>
      <w:proofErr w:type="spellEnd"/>
      <w:r w:rsidRPr="00AE3038">
        <w:rPr>
          <w:rFonts w:ascii="Times New Roman" w:hAnsi="Times New Roman" w:cs="Times New Roman"/>
          <w:i/>
          <w:iCs/>
          <w:sz w:val="24"/>
          <w:szCs w:val="24"/>
        </w:rPr>
        <w:t xml:space="preserve"> et </w:t>
      </w:r>
      <w:proofErr w:type="spellStart"/>
      <w:r w:rsidRPr="00AE3038">
        <w:rPr>
          <w:rFonts w:ascii="Times New Roman" w:hAnsi="Times New Roman" w:cs="Times New Roman"/>
          <w:i/>
          <w:iCs/>
          <w:sz w:val="24"/>
          <w:szCs w:val="24"/>
        </w:rPr>
        <w:t>que</w:t>
      </w:r>
      <w:proofErr w:type="spellEnd"/>
      <w:r w:rsidRPr="00AE3038">
        <w:rPr>
          <w:rFonts w:ascii="Times New Roman" w:hAnsi="Times New Roman" w:cs="Times New Roman"/>
          <w:i/>
          <w:iCs/>
          <w:sz w:val="24"/>
          <w:szCs w:val="24"/>
        </w:rPr>
        <w:t xml:space="preserve"> public </w:t>
      </w:r>
      <w:proofErr w:type="spellStart"/>
      <w:r w:rsidRPr="00AE3038">
        <w:rPr>
          <w:rFonts w:ascii="Times New Roman" w:hAnsi="Times New Roman" w:cs="Times New Roman"/>
          <w:i/>
          <w:iCs/>
          <w:sz w:val="24"/>
          <w:szCs w:val="24"/>
        </w:rPr>
        <w:t>peut</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exercer</w:t>
      </w:r>
      <w:proofErr w:type="spellEnd"/>
      <w:r w:rsidRPr="00AE3038">
        <w:rPr>
          <w:rFonts w:ascii="Times New Roman" w:hAnsi="Times New Roman" w:cs="Times New Roman"/>
          <w:i/>
          <w:iCs/>
          <w:sz w:val="24"/>
          <w:szCs w:val="24"/>
        </w:rPr>
        <w:t xml:space="preserve"> une </w:t>
      </w:r>
      <w:proofErr w:type="spellStart"/>
      <w:r w:rsidRPr="00AE3038">
        <w:rPr>
          <w:rFonts w:ascii="Times New Roman" w:hAnsi="Times New Roman" w:cs="Times New Roman"/>
          <w:i/>
          <w:iCs/>
          <w:sz w:val="24"/>
          <w:szCs w:val="24"/>
        </w:rPr>
        <w:t>réelle</w:t>
      </w:r>
      <w:proofErr w:type="spellEnd"/>
      <w:r w:rsidRPr="00AE3038">
        <w:rPr>
          <w:rFonts w:ascii="Times New Roman" w:hAnsi="Times New Roman" w:cs="Times New Roman"/>
          <w:i/>
          <w:iCs/>
          <w:sz w:val="24"/>
          <w:szCs w:val="24"/>
        </w:rPr>
        <w:t xml:space="preserve"> </w:t>
      </w:r>
      <w:proofErr w:type="spellStart"/>
      <w:r w:rsidRPr="00AE3038">
        <w:rPr>
          <w:rFonts w:ascii="Times New Roman" w:hAnsi="Times New Roman" w:cs="Times New Roman"/>
          <w:i/>
          <w:iCs/>
          <w:sz w:val="24"/>
          <w:szCs w:val="24"/>
        </w:rPr>
        <w:t>influence</w:t>
      </w:r>
      <w:proofErr w:type="spellEnd"/>
      <w:r w:rsidRPr="00AE3038">
        <w:rPr>
          <w:rFonts w:ascii="Times New Roman" w:hAnsi="Times New Roman" w:cs="Times New Roman"/>
          <w:sz w:val="24"/>
          <w:szCs w:val="24"/>
        </w:rPr>
        <w:t>”).</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5. L’accoglimento della predetta censura comporta l’illegittimità dell’intera procedura e il conseguente annullamento degli atti impugnati, previo assorbimento delle censure non esaminate.</w:t>
      </w:r>
    </w:p>
    <w:p w:rsidR="00AE3038" w:rsidRPr="00AE3038" w:rsidRDefault="00AE3038" w:rsidP="00AE3038">
      <w:pPr>
        <w:jc w:val="both"/>
        <w:rPr>
          <w:rFonts w:ascii="Times New Roman" w:hAnsi="Times New Roman" w:cs="Times New Roman"/>
          <w:sz w:val="24"/>
          <w:szCs w:val="24"/>
        </w:rPr>
      </w:pPr>
      <w:r w:rsidRPr="00AE3038">
        <w:rPr>
          <w:rFonts w:ascii="Times New Roman" w:hAnsi="Times New Roman" w:cs="Times New Roman"/>
          <w:sz w:val="24"/>
          <w:szCs w:val="24"/>
        </w:rPr>
        <w:t>6. Sussistono giusti motivi per compensare le spese di giudizio</w:t>
      </w:r>
      <w:r>
        <w:rPr>
          <w:rFonts w:ascii="Times New Roman" w:hAnsi="Times New Roman" w:cs="Times New Roman"/>
          <w:sz w:val="24"/>
          <w:szCs w:val="24"/>
        </w:rPr>
        <w:t>.</w:t>
      </w:r>
    </w:p>
    <w:p w:rsidR="007C0D60" w:rsidRPr="00964314" w:rsidRDefault="007C0D60" w:rsidP="00AE3038">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89265E"/>
    <w:rsid w:val="00964314"/>
    <w:rsid w:val="00974D5C"/>
    <w:rsid w:val="009B68AE"/>
    <w:rsid w:val="00AE3038"/>
    <w:rsid w:val="00BF0F36"/>
    <w:rsid w:val="00C56D01"/>
    <w:rsid w:val="00DF24EA"/>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60572084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6264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2012-11-27T11:02:00Z</dcterms:created>
  <dcterms:modified xsi:type="dcterms:W3CDTF">2012-11-28T13:50:00Z</dcterms:modified>
</cp:coreProperties>
</file>