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A1" w:rsidRPr="000251D3" w:rsidRDefault="006772A1" w:rsidP="006772A1">
      <w:pPr>
        <w:pStyle w:val="Intestazione"/>
        <w:spacing w:line="240" w:lineRule="auto"/>
        <w:rPr>
          <w:i/>
          <w:color w:val="333333"/>
          <w:sz w:val="24"/>
          <w:szCs w:val="24"/>
        </w:rPr>
      </w:pPr>
      <w:r w:rsidRPr="000251D3">
        <w:rPr>
          <w:i/>
          <w:noProof/>
          <w:color w:val="333333"/>
          <w:sz w:val="24"/>
          <w:szCs w:val="24"/>
        </w:rPr>
        <w:drawing>
          <wp:inline distT="0" distB="0" distL="0" distR="0" wp14:anchorId="7C4931E6" wp14:editId="1F0C377F">
            <wp:extent cx="2219325" cy="628650"/>
            <wp:effectExtent l="0" t="0" r="9525" b="0"/>
            <wp:docPr id="1" name="Immagine 1" descr="logo_tuttoambiente_orizzo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uttoambiente_orizzonta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2A1" w:rsidRPr="000251D3" w:rsidRDefault="006772A1">
      <w:pPr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6772A1" w:rsidRPr="000251D3" w:rsidRDefault="006772A1">
      <w:pPr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0456BA" w:rsidRPr="000456BA" w:rsidRDefault="000D173C" w:rsidP="002F3EB2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D</w:t>
      </w:r>
      <w:r w:rsidR="002F3EB2">
        <w:rPr>
          <w:rFonts w:ascii="Times New Roman" w:hAnsi="Times New Roman" w:cs="Times New Roman"/>
          <w:b/>
          <w:bCs/>
          <w:color w:val="00B050"/>
          <w:sz w:val="28"/>
          <w:szCs w:val="28"/>
        </w:rPr>
        <w:t>.</w:t>
      </w:r>
      <w:r w:rsidR="00C85574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="00D97C5A">
        <w:rPr>
          <w:rFonts w:ascii="Times New Roman" w:hAnsi="Times New Roman" w:cs="Times New Roman"/>
          <w:b/>
          <w:bCs/>
          <w:color w:val="00B050"/>
          <w:sz w:val="28"/>
          <w:szCs w:val="28"/>
        </w:rPr>
        <w:t>M. 12</w:t>
      </w:r>
      <w:r w:rsidR="002A23B6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="00D97C5A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febbraio </w:t>
      </w:r>
      <w:r w:rsidR="002A23B6">
        <w:rPr>
          <w:rFonts w:ascii="Times New Roman" w:hAnsi="Times New Roman" w:cs="Times New Roman"/>
          <w:b/>
          <w:bCs/>
          <w:color w:val="00B050"/>
          <w:sz w:val="28"/>
          <w:szCs w:val="28"/>
        </w:rPr>
        <w:t>2015</w:t>
      </w:r>
      <w:r w:rsidR="00D97C5A">
        <w:rPr>
          <w:rFonts w:ascii="Times New Roman" w:hAnsi="Times New Roman" w:cs="Times New Roman"/>
          <w:b/>
          <w:bCs/>
          <w:color w:val="00B050"/>
          <w:sz w:val="28"/>
          <w:szCs w:val="28"/>
        </w:rPr>
        <w:t>, n. 31</w:t>
      </w:r>
    </w:p>
    <w:p w:rsidR="00F20E5F" w:rsidRDefault="00F20E5F" w:rsidP="00F20E5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F20E5F" w:rsidRDefault="00D97C5A" w:rsidP="00F20E5F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D97C5A">
        <w:rPr>
          <w:rFonts w:ascii="Times New Roman" w:hAnsi="Times New Roman" w:cs="Times New Roman"/>
          <w:b/>
          <w:bCs/>
          <w:color w:val="00B050"/>
          <w:sz w:val="28"/>
          <w:szCs w:val="28"/>
        </w:rPr>
        <w:t>Regolamento recante criteri semplificati per la caratterizzazione, messa in sicurezza e bonifica dei punti vendita carburanti, ai sensi dell'articolo 252, comma 4, del decreto le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gislativo 3 aprile 2006, n. 152</w:t>
      </w:r>
    </w:p>
    <w:p w:rsidR="002A23B6" w:rsidRDefault="002A23B6" w:rsidP="00443EA3">
      <w:pPr>
        <w:jc w:val="center"/>
        <w:rPr>
          <w:rFonts w:ascii="Times New Roman" w:hAnsi="Times New Roman" w:cs="Times New Roman"/>
          <w:bCs/>
          <w:color w:val="444444"/>
          <w:sz w:val="28"/>
          <w:szCs w:val="28"/>
        </w:rPr>
      </w:pPr>
    </w:p>
    <w:p w:rsidR="002F3EB2" w:rsidRPr="00F20E5F" w:rsidRDefault="00D97C5A" w:rsidP="00443EA3">
      <w:pPr>
        <w:jc w:val="center"/>
        <w:rPr>
          <w:rFonts w:ascii="Times New Roman" w:hAnsi="Times New Roman" w:cs="Times New Roman"/>
          <w:bCs/>
          <w:color w:val="444444"/>
          <w:sz w:val="28"/>
          <w:szCs w:val="28"/>
        </w:rPr>
      </w:pPr>
      <w:r>
        <w:rPr>
          <w:rFonts w:ascii="Times New Roman" w:hAnsi="Times New Roman" w:cs="Times New Roman"/>
          <w:bCs/>
          <w:color w:val="444444"/>
          <w:sz w:val="28"/>
          <w:szCs w:val="28"/>
        </w:rPr>
        <w:t>(GU Serie Generale n. 68 del 23-03</w:t>
      </w:r>
      <w:r w:rsidR="002A23B6">
        <w:rPr>
          <w:rFonts w:ascii="Times New Roman" w:hAnsi="Times New Roman" w:cs="Times New Roman"/>
          <w:bCs/>
          <w:color w:val="444444"/>
          <w:sz w:val="28"/>
          <w:szCs w:val="28"/>
        </w:rPr>
        <w:t>-2015</w:t>
      </w:r>
      <w:r w:rsidR="00F20E5F" w:rsidRPr="00F20E5F">
        <w:rPr>
          <w:rFonts w:ascii="Times New Roman" w:hAnsi="Times New Roman" w:cs="Times New Roman"/>
          <w:bCs/>
          <w:color w:val="444444"/>
          <w:sz w:val="28"/>
          <w:szCs w:val="28"/>
        </w:rPr>
        <w:t>)</w:t>
      </w:r>
    </w:p>
    <w:p w:rsidR="002F3EB2" w:rsidRPr="002A23B6" w:rsidRDefault="007A78D6" w:rsidP="002A23B6">
      <w:pPr>
        <w:jc w:val="center"/>
        <w:rPr>
          <w:rFonts w:ascii="Times New Roman" w:hAnsi="Times New Roman" w:cs="Times New Roman"/>
          <w:bCs/>
          <w:color w:val="4A970B"/>
          <w:sz w:val="24"/>
          <w:szCs w:val="24"/>
        </w:rPr>
      </w:pPr>
      <w:r w:rsidRPr="000251D3">
        <w:rPr>
          <w:rStyle w:val="riferimento2"/>
          <w:rFonts w:ascii="Times New Roman" w:hAnsi="Times New Roman" w:cs="Times New Roman"/>
          <w:bCs/>
          <w:sz w:val="24"/>
          <w:szCs w:val="24"/>
        </w:rPr>
        <w:t>-----------------------------------------------------------------------</w:t>
      </w:r>
    </w:p>
    <w:p w:rsidR="002F3EB2" w:rsidRPr="002F3EB2" w:rsidRDefault="002F3EB2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</w:t>
      </w:r>
      <w:r w:rsidRPr="002F3EB2">
        <w:rPr>
          <w:rFonts w:ascii="Times New Roman" w:eastAsia="Times New Roman" w:hAnsi="Times New Roman" w:cs="Times New Roman"/>
          <w:sz w:val="24"/>
          <w:szCs w:val="24"/>
          <w:lang w:eastAsia="it-IT"/>
        </w:rPr>
        <w:t>vigore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</w:t>
      </w:r>
      <w:r w:rsidR="00981378">
        <w:rPr>
          <w:rFonts w:ascii="Times New Roman" w:eastAsia="Times New Roman" w:hAnsi="Times New Roman" w:cs="Times New Roman"/>
          <w:sz w:val="24"/>
          <w:szCs w:val="24"/>
          <w:lang w:eastAsia="it-IT"/>
        </w:rPr>
        <w:t>: 07/04</w:t>
      </w:r>
      <w:r w:rsidR="00207763">
        <w:rPr>
          <w:rFonts w:ascii="Times New Roman" w:eastAsia="Times New Roman" w:hAnsi="Times New Roman" w:cs="Times New Roman"/>
          <w:sz w:val="24"/>
          <w:szCs w:val="24"/>
          <w:lang w:eastAsia="it-IT"/>
        </w:rPr>
        <w:t>/2015</w:t>
      </w:r>
      <w:r w:rsidR="00C855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F3EB2" w:rsidRDefault="002F3EB2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86BDC" w:rsidRDefault="00886BDC" w:rsidP="0088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3628C" w:rsidRPr="00F3628C" w:rsidRDefault="00F3628C" w:rsidP="00F3628C">
      <w:pPr>
        <w:pStyle w:val="PreformattatoHTML"/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3628C"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Art. 1 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proofErr w:type="spellStart"/>
      <w:r w:rsidRPr="00D97C5A">
        <w:rPr>
          <w:rStyle w:val="Collegamentoipertestuale"/>
          <w:rFonts w:ascii="Times New Roman" w:hAnsi="Times New Roman" w:cs="Times New Roman"/>
          <w:i/>
          <w:color w:val="auto"/>
          <w:sz w:val="24"/>
          <w:szCs w:val="24"/>
          <w:u w:val="none"/>
        </w:rPr>
        <w:t>Finalita'</w:t>
      </w:r>
      <w:proofErr w:type="spellEnd"/>
      <w:r w:rsidRPr="00D97C5A">
        <w:rPr>
          <w:rStyle w:val="Collegamentoipertestuale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e oggetto 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1.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Il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decreto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individua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bookmarkStart w:id="0" w:name="_GoBack"/>
      <w:bookmarkEnd w:id="0"/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criteri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semplificati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per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la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caratterizzazione, messa in sicurezza e bonifica dei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suoli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delle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acque sotterranee per le aree di sedime o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pertinenza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punti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vendita carburanti (di seguito denominati PV ). 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2. Ai fini del comma 1 il decreto stabilisce: 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a) i criteri di attuazione delle misure di prevenzione e di messa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in sicurezza d'emergenza; 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b) le </w:t>
      </w:r>
      <w:proofErr w:type="spellStart"/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modalita'</w:t>
      </w:r>
      <w:proofErr w:type="spellEnd"/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di caratterizzazione delle aree; 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c)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criteri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applicazione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dell'analisi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rischio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sito-specifica,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tenendo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conto,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in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particolare,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della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ubicazione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dell'area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contaminata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in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funzione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dell'effettivo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scenario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di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esposizione e di rischio e delle aree limitrofe; 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d) i criteri di intervento per la messa in sicurezza e bonifica; 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e)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criteri,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modalita'</w:t>
      </w:r>
      <w:proofErr w:type="spellEnd"/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termini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dello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svolgimento</w:t>
      </w:r>
    </w:p>
    <w:p w:rsidR="00F3628C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dell'istruttoria.</w:t>
      </w:r>
    </w:p>
    <w:p w:rsidR="00F3628C" w:rsidRDefault="00F3628C" w:rsidP="002F3EB2">
      <w:pPr>
        <w:pStyle w:val="PreformattatoHTML"/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2F3EB2" w:rsidRPr="002F3EB2" w:rsidRDefault="002A23B6" w:rsidP="002F3EB2">
      <w:pPr>
        <w:pStyle w:val="PreformattatoHTML"/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  <w:t>Art. 2</w:t>
      </w:r>
      <w:r w:rsidR="002F3EB2" w:rsidRPr="002F3EB2"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Definizioni </w:t>
      </w:r>
    </w:p>
    <w:p w:rsid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1.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fini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del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decreto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applicano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le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definizioni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cui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all'articolo 240 del decreto legislativo n. 152 del 2006 e successive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modificazioni. In particolare, si intende per: 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a) misure di prevenzione: gli interventi di cui all'articolo 240,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comma 1, lettera i)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del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decreto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legislativo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n.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152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del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2006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e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successive modificazioni; 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b)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messa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in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sicurezza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d'emergenza: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gli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interventi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cui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all'articolo 240, comma 1, lettera m) del decreto legislativo n.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152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del 2006 e successive modificazioni; 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c) bonifica: l'insieme degli interventi di cui all'articolo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240,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comma 1, lettera p)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del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decreto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legislativo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n.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152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del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2006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e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successive modificazioni; 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2. Per le </w:t>
      </w:r>
      <w:proofErr w:type="spellStart"/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finalita'</w:t>
      </w:r>
      <w:proofErr w:type="spellEnd"/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del decreto si intende inoltre per: 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a) rete di distribuzione carburanti: insieme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degli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impianti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di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distribuzione carburanti per uso autotrazione in commercio; 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b)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punto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vendita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carburanti: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la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porzione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territorio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di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limitata estensione, non superiore a 5000 m², interessata dal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sedime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o dalle pertinenze di un impianto di distribuzione carburanti, intesa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nelle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diverse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matrici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ambientali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(suolo,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sottosuolo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ed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acque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sotterranee) 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comprensiva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delle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eventuali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strutture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edilizie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e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impiantistiche presenti, anche destinate alla commercializzazione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di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altri prodotti e agli interventi di ordinaria e minuta manutenzione e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riparazione dei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veicoli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motore,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assentiti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nel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rispetto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delle</w:t>
      </w:r>
    </w:p>
    <w:p w:rsidR="00207763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disposizioni vigenti.</w:t>
      </w:r>
    </w:p>
    <w:p w:rsidR="002A23B6" w:rsidRPr="00D97C5A" w:rsidRDefault="002A23B6" w:rsidP="002A23B6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07763" w:rsidRPr="007C041A" w:rsidRDefault="00207763" w:rsidP="002A23B6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  <w:t>Art.</w:t>
      </w:r>
      <w:r w:rsidR="0094687C"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2A23B6"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  <w:t>3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Criteri generali per la caratterizzazione, analisi di rischio, messa in sicurezza e bonifica 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1. In presenza di una situazione di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inquinamento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possibile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o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in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atto, devono essere individuate e attuate le misure di prevenzione, e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gli speciali interventi di prevenzione consistenti in misure di messa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in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sicurezza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d'emergenza,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necessari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per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prevenire,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impedire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ed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eliminare la diffusione di sostanze inquinanti al suolo e alle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acque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sotterranee non contaminati. Tali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misure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possono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consistere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nella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rimozione di fonti inquinanti primarie e secondarie. 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2. Al fine di tenere conto delle ridotte dimensioni delle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aree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di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sedime e di pertinenza dei punti vendita carburanti, i criteri di cui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all'allegato 2, Titolo V, Parte IV del decreto legislativo n. 152 del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2006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successive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modificazioni,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applicano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con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le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seguenti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modalita'</w:t>
      </w:r>
      <w:proofErr w:type="spellEnd"/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: 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a) se il modello concettuale del sito evidenzia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la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possibilita'</w:t>
      </w:r>
      <w:proofErr w:type="spellEnd"/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di contaminazione diretta o indiretta della falda e le dimensioni del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sito lo consentono, devono essere realizzate almeno tre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perforazioni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da attrezzare a piezometri; 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b)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integrazione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delle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indagini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dirette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possono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essere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realizzati altri tipi di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indagine,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quali,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ad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esempio,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rilievi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geofisici e </w:t>
      </w:r>
      <w:proofErr w:type="spellStart"/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soil</w:t>
      </w:r>
      <w:proofErr w:type="spellEnd"/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-gas </w:t>
      </w:r>
      <w:proofErr w:type="spellStart"/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survey</w:t>
      </w:r>
      <w:proofErr w:type="spellEnd"/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, al fine di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ottenere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una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ricostruzione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piu'</w:t>
      </w:r>
      <w:proofErr w:type="spellEnd"/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completa del quadro ambientale e una determinazione accurata dei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parametri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sito-specifici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da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utilizzare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per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l'applicazione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dell'analisi di rischio secondo i criteri di cui al successivo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comma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3; 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c) per i parametri da ricercare in fase di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caratterizzazione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il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riferimento </w:t>
      </w:r>
      <w:proofErr w:type="spellStart"/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e'</w:t>
      </w:r>
      <w:proofErr w:type="spellEnd"/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all'Allegato 1 al presente decreto, che ne costituisce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parte integrante. 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3. L'analisi di rischio </w:t>
      </w:r>
      <w:proofErr w:type="spellStart"/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e'</w:t>
      </w:r>
      <w:proofErr w:type="spellEnd"/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effettuata secondo criteri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semplificati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di cui all'Allegato 2 al presente decreto, che ne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costituisce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parte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integrante,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tenendo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conto,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in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particolare,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delle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dimensioni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dell'area, della tipologia, delle caratteristiche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dell'estensione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della contaminazione, e della eventuale presenza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bersagli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fuori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sito (off-site). 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4. Fermo l'obbligo di garantire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comunque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un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elevato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livello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di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sicurezza, la selezione delle tecnologie applicabili tiene conto, per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quanto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possibile,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anche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eventuali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vincoli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tecnici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alla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realizzazione degli interventi, quali a titolo di esempio, </w:t>
      </w:r>
      <w:proofErr w:type="spellStart"/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stabilita'</w:t>
      </w:r>
      <w:proofErr w:type="spellEnd"/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strutturale, presenza di linee interrate 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sottoservizi</w:t>
      </w:r>
      <w:proofErr w:type="spellEnd"/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viabilita'</w:t>
      </w:r>
      <w:proofErr w:type="spellEnd"/>
    </w:p>
    <w:p w:rsidR="00207763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pubblica.</w:t>
      </w:r>
    </w:p>
    <w:p w:rsidR="00215A87" w:rsidRDefault="00215A87" w:rsidP="00215A87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D97C5A" w:rsidRDefault="00D97C5A" w:rsidP="00215A87">
      <w:pPr>
        <w:pStyle w:val="PreformattatoHTML"/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  <w:t>Art.</w:t>
      </w:r>
      <w:r w:rsidR="0094687C"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  <w:t>4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proofErr w:type="spellStart"/>
      <w:r w:rsidRPr="00D97C5A">
        <w:rPr>
          <w:rStyle w:val="Collegamentoipertestuale"/>
          <w:rFonts w:ascii="Times New Roman" w:hAnsi="Times New Roman" w:cs="Times New Roman"/>
          <w:i/>
          <w:color w:val="auto"/>
          <w:sz w:val="24"/>
          <w:szCs w:val="24"/>
          <w:u w:val="none"/>
        </w:rPr>
        <w:t>Modalita'</w:t>
      </w:r>
      <w:proofErr w:type="spellEnd"/>
      <w:r w:rsidRPr="00D97C5A">
        <w:rPr>
          <w:rStyle w:val="Collegamentoipertestuale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, criteri e termini degli interventi </w:t>
      </w:r>
    </w:p>
    <w:p w:rsid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1. Il superamento o il pericolo di superamento, anche per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un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solo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parametro, dei valori delle Concentrazioni Soglia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Contaminazione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(CSC) di cui alle Tabelle 1 e 2 dell'Allegato 5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alla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Parte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IV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del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decreto legislativo n. 152 del 2006 e successive modificazioni o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dei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valori di fondo, deve essere comunicato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dal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soggetto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responsabile,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dal proprietario o dal gestore del sito a comune, provincia e regione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territorialmente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competente,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con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l'indicazione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delle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misure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di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prevenzione o messa in sicurezza d'emergenza adottate ai sensi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degli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articoli 242 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245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del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decreto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legislativo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n.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152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del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2006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e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successive modificazioni. 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2. Se gli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interventi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prevenzione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messa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in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sicurezza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d'emergenza effettuati riportano i valori di contaminazione del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sito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al di sotto della concentrazione soglia di contaminazione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(CSC),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la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comunicazione di cui al comma 1 </w:t>
      </w:r>
      <w:proofErr w:type="spellStart"/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e'</w:t>
      </w:r>
      <w:proofErr w:type="spellEnd"/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aggiornata entro sessanta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giorni,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con una relazione tecnica che descrive gli interventi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effettuati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ed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e'</w:t>
      </w:r>
      <w:proofErr w:type="spellEnd"/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corredata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da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autocertificazione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avvenuto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ripristino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della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situazione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antecedente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il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superamento,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salvi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controlli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le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verifiche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da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parte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della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Provincia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l'ARPA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territorialmente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competente, entro i successivi sessanta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giorni;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tale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comunicazione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conclude il procedimento. 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3. Al di fuori dei casi di cui al comma 2, oltre agli interventi di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prevenzione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o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messa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in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sicurezza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d'emergenza,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devono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essere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effettuati, in alternativa, i seguenti interventi: 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a) bonifica con riduzione dei valori di contaminazione ai livelli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di concentrazione soglia di contaminazione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(CSC),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senza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effettuare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l'analisi di rischio; 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b) messa in sicurezza o bonifica con valori di contaminazione del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sito ai livelli di Concentrazione soglia di rischio (CSR) individuati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all'esito dell'analisi di rischio condotta sulla base dei criteri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di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cui all'Allegato 2. 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4. In entrambi i casi di cui al comma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3,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deve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essere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presentato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alle </w:t>
      </w:r>
      <w:proofErr w:type="spellStart"/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Autorita'</w:t>
      </w:r>
      <w:proofErr w:type="spellEnd"/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competenti un unico progetto di messa in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sicurezza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o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bonifica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con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la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descrizione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della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situazione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contaminazione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riscontrata a seguito delle </w:t>
      </w:r>
      <w:proofErr w:type="spellStart"/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attivita'</w:t>
      </w:r>
      <w:proofErr w:type="spellEnd"/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di caratterizzazione eseguite e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l'individuazione degli eventuali interventi di prevenzione o messa in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sicurezza d'emergenza adottati o in fase di esecuzione per assicurare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la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tutela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della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salute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dell'ambiente,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la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descrizione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degli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interventi di messa in sicurezza o bonifica da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eseguire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sulla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base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dei risultati della caratterizzazione per riportare la contaminazione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ai valori di Concentrazione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soglia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contaminazione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(CSC)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o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di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Concentrazione soglia di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rischio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(CSR)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e,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in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tale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ultimo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caso,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l'elaborato di analisi di rischio. 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5. Il progetto di messa in sicurezza o bonifica </w:t>
      </w:r>
      <w:proofErr w:type="spellStart"/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e'</w:t>
      </w:r>
      <w:proofErr w:type="spellEnd"/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approvato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dalle</w:t>
      </w:r>
    </w:p>
    <w:p w:rsid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autorita'</w:t>
      </w:r>
      <w:proofErr w:type="spellEnd"/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competenti, entro 60 giorni dall'avvio del procedimento.</w:t>
      </w:r>
    </w:p>
    <w:p w:rsid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  <w:t>Art.</w:t>
      </w:r>
      <w:r w:rsidR="0094687C"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  <w:t>5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Disposizioni finali </w:t>
      </w:r>
    </w:p>
    <w:p w:rsid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1. Per quanto non espressamente disciplinato dal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presente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decreto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si applicano le disposizioni della Parte IV, Titolo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V,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del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decreto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legislativo n. 152 del 2006 e successive modificazioni. 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2. Il regime speciale disciplinato dal presente decreto si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applica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anche: 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a) alle istruttorie avviate ma non concluse alla data di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entrata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in vigore del decreto medesimo; 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b) alla dismissione di punti vendita di carburanti; 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c) ai punti vendita carburanti con area di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sedime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inferiore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ai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1.000 metri quadrati. 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Il presente decreto, munito del sigillo dello Stato, </w:t>
      </w:r>
      <w:proofErr w:type="spellStart"/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sara'</w:t>
      </w:r>
      <w:proofErr w:type="spellEnd"/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inserito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nella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Raccolta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ufficiale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degli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atti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normativi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della</w:t>
      </w:r>
      <w:r w:rsidR="0094687C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Repubblica</w:t>
      </w:r>
    </w:p>
    <w:p w:rsidR="00D97C5A" w:rsidRP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italiana. E' fatto obbligo a chiunque spetti di osservarlo e di farlo</w:t>
      </w:r>
    </w:p>
    <w:p w:rsidR="00D97C5A" w:rsidRDefault="00D97C5A" w:rsidP="00D97C5A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7C5A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osservare. </w:t>
      </w:r>
    </w:p>
    <w:p w:rsidR="00981378" w:rsidRPr="00981378" w:rsidRDefault="00981378" w:rsidP="00D97C5A">
      <w:pPr>
        <w:pStyle w:val="PreformattatoHTML"/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sectPr w:rsidR="00981378" w:rsidRPr="009813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D6"/>
    <w:rsid w:val="000251D3"/>
    <w:rsid w:val="000456BA"/>
    <w:rsid w:val="000D173C"/>
    <w:rsid w:val="000F642C"/>
    <w:rsid w:val="00135A59"/>
    <w:rsid w:val="00142DC3"/>
    <w:rsid w:val="001A25E1"/>
    <w:rsid w:val="001E246D"/>
    <w:rsid w:val="001E4E1F"/>
    <w:rsid w:val="00207763"/>
    <w:rsid w:val="00215A87"/>
    <w:rsid w:val="00245667"/>
    <w:rsid w:val="002A1FB4"/>
    <w:rsid w:val="002A23B6"/>
    <w:rsid w:val="002C0ACE"/>
    <w:rsid w:val="002F3EB2"/>
    <w:rsid w:val="0035785B"/>
    <w:rsid w:val="003A0B28"/>
    <w:rsid w:val="00400152"/>
    <w:rsid w:val="00443EA3"/>
    <w:rsid w:val="004816F2"/>
    <w:rsid w:val="00483ECA"/>
    <w:rsid w:val="004D795E"/>
    <w:rsid w:val="004F15C3"/>
    <w:rsid w:val="00523169"/>
    <w:rsid w:val="005477DB"/>
    <w:rsid w:val="005C0CCC"/>
    <w:rsid w:val="005C5970"/>
    <w:rsid w:val="00652B34"/>
    <w:rsid w:val="00670673"/>
    <w:rsid w:val="006772A1"/>
    <w:rsid w:val="006E0ECA"/>
    <w:rsid w:val="006E5E64"/>
    <w:rsid w:val="00726C57"/>
    <w:rsid w:val="007544E7"/>
    <w:rsid w:val="00765834"/>
    <w:rsid w:val="007A78D6"/>
    <w:rsid w:val="007C041A"/>
    <w:rsid w:val="00886BDC"/>
    <w:rsid w:val="0092649C"/>
    <w:rsid w:val="0094687C"/>
    <w:rsid w:val="00981378"/>
    <w:rsid w:val="0099649C"/>
    <w:rsid w:val="009A602C"/>
    <w:rsid w:val="009D400D"/>
    <w:rsid w:val="00B908D8"/>
    <w:rsid w:val="00BA2E62"/>
    <w:rsid w:val="00C10CE6"/>
    <w:rsid w:val="00C44054"/>
    <w:rsid w:val="00C85574"/>
    <w:rsid w:val="00D1035C"/>
    <w:rsid w:val="00D5501B"/>
    <w:rsid w:val="00D66DA5"/>
    <w:rsid w:val="00D77754"/>
    <w:rsid w:val="00D94EA0"/>
    <w:rsid w:val="00D97C5A"/>
    <w:rsid w:val="00DA0850"/>
    <w:rsid w:val="00DD7A26"/>
    <w:rsid w:val="00DF6B3B"/>
    <w:rsid w:val="00E26D64"/>
    <w:rsid w:val="00E67BD8"/>
    <w:rsid w:val="00EC2C91"/>
    <w:rsid w:val="00F20E5F"/>
    <w:rsid w:val="00F3628C"/>
    <w:rsid w:val="00F8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ferimento2">
    <w:name w:val="riferimento2"/>
    <w:basedOn w:val="Carpredefinitoparagrafo"/>
    <w:rsid w:val="007A78D6"/>
    <w:rPr>
      <w:color w:val="4A970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A78D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A7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772A1"/>
    <w:pPr>
      <w:tabs>
        <w:tab w:val="center" w:pos="4819"/>
        <w:tab w:val="right" w:pos="9638"/>
      </w:tabs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772A1"/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2A1"/>
    <w:rPr>
      <w:rFonts w:ascii="Tahoma" w:hAnsi="Tahoma" w:cs="Tahoma"/>
      <w:sz w:val="16"/>
      <w:szCs w:val="16"/>
    </w:rPr>
  </w:style>
  <w:style w:type="paragraph" w:customStyle="1" w:styleId="grassetto">
    <w:name w:val="grassetto"/>
    <w:basedOn w:val="Normale"/>
    <w:rsid w:val="0004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E0EC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E0E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ferimento2">
    <w:name w:val="riferimento2"/>
    <w:basedOn w:val="Carpredefinitoparagrafo"/>
    <w:rsid w:val="007A78D6"/>
    <w:rPr>
      <w:color w:val="4A970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A78D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A7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772A1"/>
    <w:pPr>
      <w:tabs>
        <w:tab w:val="center" w:pos="4819"/>
        <w:tab w:val="right" w:pos="9638"/>
      </w:tabs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772A1"/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2A1"/>
    <w:rPr>
      <w:rFonts w:ascii="Tahoma" w:hAnsi="Tahoma" w:cs="Tahoma"/>
      <w:sz w:val="16"/>
      <w:szCs w:val="16"/>
    </w:rPr>
  </w:style>
  <w:style w:type="paragraph" w:customStyle="1" w:styleId="grassetto">
    <w:name w:val="grassetto"/>
    <w:basedOn w:val="Normale"/>
    <w:rsid w:val="0004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E0EC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E0E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TuttoAmbiente srl</Company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 Tonoli</cp:lastModifiedBy>
  <cp:revision>4</cp:revision>
  <cp:lastPrinted>2015-03-02T09:32:00Z</cp:lastPrinted>
  <dcterms:created xsi:type="dcterms:W3CDTF">2015-03-24T15:21:00Z</dcterms:created>
  <dcterms:modified xsi:type="dcterms:W3CDTF">2015-03-25T07:28:00Z</dcterms:modified>
</cp:coreProperties>
</file>