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5E4" w:rsidRPr="000025E4" w:rsidRDefault="000025E4" w:rsidP="000025E4">
      <w:pPr>
        <w:widowControl w:val="0"/>
        <w:spacing w:after="0" w:line="240" w:lineRule="auto"/>
        <w:jc w:val="both"/>
        <w:rPr>
          <w:rFonts w:ascii="Times New Roman" w:hAnsi="Times New Roman" w:cs="Times New Roman"/>
          <w:b/>
          <w:bCs/>
          <w:sz w:val="24"/>
          <w:szCs w:val="24"/>
        </w:rPr>
      </w:pPr>
      <w:r w:rsidRPr="000025E4">
        <w:rPr>
          <w:rFonts w:ascii="Times New Roman" w:hAnsi="Times New Roman" w:cs="Times New Roman"/>
          <w:b/>
          <w:bCs/>
          <w:sz w:val="24"/>
          <w:szCs w:val="24"/>
        </w:rPr>
        <w:t xml:space="preserve">TAR Friuli Venezia Giulia, Sez. I, n. 318 del 31/05/13 - Pres. </w:t>
      </w:r>
      <w:proofErr w:type="spellStart"/>
      <w:r w:rsidRPr="000025E4">
        <w:rPr>
          <w:rFonts w:ascii="Times New Roman" w:hAnsi="Times New Roman" w:cs="Times New Roman"/>
          <w:b/>
          <w:bCs/>
          <w:sz w:val="24"/>
          <w:szCs w:val="24"/>
        </w:rPr>
        <w:t>Zuballi</w:t>
      </w:r>
      <w:proofErr w:type="spellEnd"/>
      <w:r w:rsidRPr="000025E4">
        <w:rPr>
          <w:rFonts w:ascii="Times New Roman" w:hAnsi="Times New Roman" w:cs="Times New Roman"/>
          <w:b/>
          <w:bCs/>
          <w:sz w:val="24"/>
          <w:szCs w:val="24"/>
        </w:rPr>
        <w:t xml:space="preserve"> - Est. Di </w:t>
      </w:r>
      <w:proofErr w:type="spellStart"/>
      <w:r w:rsidRPr="000025E4">
        <w:rPr>
          <w:rFonts w:ascii="Times New Roman" w:hAnsi="Times New Roman" w:cs="Times New Roman"/>
          <w:b/>
          <w:bCs/>
          <w:sz w:val="24"/>
          <w:szCs w:val="24"/>
        </w:rPr>
        <w:t>Sciascio</w:t>
      </w:r>
      <w:proofErr w:type="spellEnd"/>
      <w:r w:rsidRPr="000025E4">
        <w:rPr>
          <w:rFonts w:ascii="Times New Roman" w:hAnsi="Times New Roman" w:cs="Times New Roman"/>
          <w:b/>
          <w:bCs/>
          <w:sz w:val="24"/>
          <w:szCs w:val="24"/>
        </w:rPr>
        <w:t xml:space="preserve"> - Ric. </w:t>
      </w:r>
      <w:proofErr w:type="spellStart"/>
      <w:r w:rsidRPr="000025E4">
        <w:rPr>
          <w:rFonts w:ascii="Times New Roman" w:hAnsi="Times New Roman" w:cs="Times New Roman"/>
          <w:b/>
          <w:bCs/>
          <w:sz w:val="24"/>
          <w:szCs w:val="24"/>
        </w:rPr>
        <w:t>E.spa</w:t>
      </w:r>
      <w:proofErr w:type="spellEnd"/>
      <w:r w:rsidRPr="000025E4">
        <w:rPr>
          <w:rFonts w:ascii="Times New Roman" w:hAnsi="Times New Roman" w:cs="Times New Roman"/>
          <w:b/>
          <w:bCs/>
          <w:sz w:val="24"/>
          <w:szCs w:val="24"/>
        </w:rPr>
        <w:t xml:space="preserve"> c. </w:t>
      </w:r>
      <w:proofErr w:type="spellStart"/>
      <w:r w:rsidRPr="000025E4">
        <w:rPr>
          <w:rFonts w:ascii="Times New Roman" w:hAnsi="Times New Roman" w:cs="Times New Roman"/>
          <w:b/>
          <w:bCs/>
          <w:sz w:val="24"/>
          <w:szCs w:val="24"/>
        </w:rPr>
        <w:t>MinAmb</w:t>
      </w:r>
      <w:proofErr w:type="spellEnd"/>
      <w:r w:rsidRPr="000025E4">
        <w:rPr>
          <w:rFonts w:ascii="Times New Roman" w:hAnsi="Times New Roman" w:cs="Times New Roman"/>
          <w:b/>
          <w:bCs/>
          <w:sz w:val="24"/>
          <w:szCs w:val="24"/>
        </w:rPr>
        <w:t xml:space="preserve"> e altri</w:t>
      </w:r>
    </w:p>
    <w:p w:rsidR="000025E4" w:rsidRPr="00BF2093" w:rsidRDefault="00120DBA" w:rsidP="000025E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br/>
      </w:r>
      <w:r w:rsidR="00BF2093">
        <w:rPr>
          <w:rFonts w:ascii="Times New Roman" w:hAnsi="Times New Roman" w:cs="Times New Roman"/>
          <w:b/>
          <w:bCs/>
          <w:sz w:val="24"/>
          <w:szCs w:val="24"/>
        </w:rPr>
        <w:t xml:space="preserve">Bonifiche – </w:t>
      </w:r>
      <w:r w:rsidR="00BF2093" w:rsidRPr="00BF2093">
        <w:rPr>
          <w:rFonts w:ascii="Times New Roman" w:hAnsi="Times New Roman" w:cs="Times New Roman"/>
          <w:bCs/>
          <w:sz w:val="24"/>
          <w:szCs w:val="24"/>
        </w:rPr>
        <w:t>Superamento</w:t>
      </w:r>
      <w:r w:rsidR="00BF2093">
        <w:rPr>
          <w:rFonts w:ascii="Times New Roman" w:hAnsi="Times New Roman" w:cs="Times New Roman"/>
          <w:b/>
          <w:bCs/>
          <w:sz w:val="24"/>
          <w:szCs w:val="24"/>
        </w:rPr>
        <w:t xml:space="preserve"> </w:t>
      </w:r>
      <w:r w:rsidR="00BF2093" w:rsidRPr="00BF2093">
        <w:rPr>
          <w:rFonts w:ascii="Times New Roman" w:hAnsi="Times New Roman" w:cs="Times New Roman"/>
          <w:bCs/>
          <w:sz w:val="24"/>
          <w:szCs w:val="24"/>
        </w:rPr>
        <w:t>CSR</w:t>
      </w:r>
      <w:r w:rsidR="00BF2093">
        <w:rPr>
          <w:rFonts w:ascii="Times New Roman" w:hAnsi="Times New Roman" w:cs="Times New Roman"/>
          <w:bCs/>
          <w:sz w:val="24"/>
          <w:szCs w:val="24"/>
        </w:rPr>
        <w:t xml:space="preserve"> o CSC: quando scatta l’obbligo di</w:t>
      </w:r>
      <w:r w:rsidR="00BF2093" w:rsidRPr="00BF2093">
        <w:rPr>
          <w:rFonts w:ascii="Times New Roman" w:hAnsi="Times New Roman" w:cs="Times New Roman"/>
          <w:bCs/>
          <w:sz w:val="24"/>
          <w:szCs w:val="24"/>
        </w:rPr>
        <w:t xml:space="preserve"> messa i</w:t>
      </w:r>
      <w:r w:rsidR="00BF2093">
        <w:rPr>
          <w:rFonts w:ascii="Times New Roman" w:hAnsi="Times New Roman" w:cs="Times New Roman"/>
          <w:bCs/>
          <w:sz w:val="24"/>
          <w:szCs w:val="24"/>
        </w:rPr>
        <w:t>n sicurezza d’emergenza?</w:t>
      </w:r>
    </w:p>
    <w:p w:rsidR="00BF2093" w:rsidRPr="00BF2093" w:rsidRDefault="00BF2093" w:rsidP="00BF2093">
      <w:pPr>
        <w:widowControl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L</w:t>
      </w:r>
      <w:r w:rsidRPr="00BF2093">
        <w:rPr>
          <w:rFonts w:ascii="Times New Roman" w:hAnsi="Times New Roman" w:cs="Times New Roman"/>
          <w:bCs/>
          <w:i/>
          <w:sz w:val="24"/>
          <w:szCs w:val="24"/>
        </w:rPr>
        <w:t xml:space="preserve">’art. 245 del D. </w:t>
      </w:r>
      <w:proofErr w:type="spellStart"/>
      <w:r w:rsidRPr="00BF2093">
        <w:rPr>
          <w:rFonts w:ascii="Times New Roman" w:hAnsi="Times New Roman" w:cs="Times New Roman"/>
          <w:bCs/>
          <w:i/>
          <w:sz w:val="24"/>
          <w:szCs w:val="24"/>
        </w:rPr>
        <w:t>Lgs</w:t>
      </w:r>
      <w:proofErr w:type="spellEnd"/>
      <w:r w:rsidRPr="00BF2093">
        <w:rPr>
          <w:rFonts w:ascii="Times New Roman" w:hAnsi="Times New Roman" w:cs="Times New Roman"/>
          <w:bCs/>
          <w:i/>
          <w:sz w:val="24"/>
          <w:szCs w:val="24"/>
        </w:rPr>
        <w:t>. n. 152/2006 impone al “proprietario o gestore dell’area che rilevi il superamento o il pericolo concreto e attuale del superamento della concentrazione soglia di contaminazione (CSC)…</w:t>
      </w:r>
      <w:r>
        <w:rPr>
          <w:rFonts w:ascii="Times New Roman" w:hAnsi="Times New Roman" w:cs="Times New Roman"/>
          <w:bCs/>
          <w:i/>
          <w:sz w:val="24"/>
          <w:szCs w:val="24"/>
        </w:rPr>
        <w:t xml:space="preserve"> </w:t>
      </w:r>
      <w:r w:rsidRPr="00BF2093">
        <w:rPr>
          <w:rFonts w:ascii="Times New Roman" w:hAnsi="Times New Roman" w:cs="Times New Roman"/>
          <w:bCs/>
          <w:i/>
          <w:sz w:val="24"/>
          <w:szCs w:val="24"/>
        </w:rPr>
        <w:t>di attuare le misure di prevenzione di cui all’articolo 242”.</w:t>
      </w:r>
    </w:p>
    <w:p w:rsidR="00BF2093" w:rsidRPr="00BF2093" w:rsidRDefault="00BF2093" w:rsidP="00BF2093">
      <w:pPr>
        <w:widowControl w:val="0"/>
        <w:spacing w:after="0" w:line="240" w:lineRule="auto"/>
        <w:jc w:val="both"/>
        <w:rPr>
          <w:rFonts w:ascii="Times New Roman" w:hAnsi="Times New Roman" w:cs="Times New Roman"/>
          <w:bCs/>
          <w:i/>
          <w:sz w:val="24"/>
          <w:szCs w:val="24"/>
        </w:rPr>
      </w:pPr>
      <w:r w:rsidRPr="00BF2093">
        <w:rPr>
          <w:rFonts w:ascii="Times New Roman" w:hAnsi="Times New Roman" w:cs="Times New Roman"/>
          <w:bCs/>
          <w:i/>
          <w:sz w:val="24"/>
          <w:szCs w:val="24"/>
        </w:rPr>
        <w:t>Non è quindi vero che l’obbligo della messa in sicurezza d’emergenza si attui solo col superamento delle CSR.</w:t>
      </w:r>
    </w:p>
    <w:p w:rsidR="000025E4" w:rsidRP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br/>
        <w:t>FATTO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La società ricorrente premette di essere titolare di terreni all’interno del SIN di Trieste, in località Muggia, acquisiti da altra società poi fusa per incorporazione in quella istante, su cui insistono strutture produttive, da tempo dismesse, di cui rimangono solo alcuni serbatoi, un tempo contenenti benzine di</w:t>
      </w:r>
      <w:r>
        <w:rPr>
          <w:rFonts w:ascii="Times New Roman" w:hAnsi="Times New Roman" w:cs="Times New Roman"/>
          <w:bCs/>
          <w:sz w:val="24"/>
          <w:szCs w:val="24"/>
        </w:rPr>
        <w:t xml:space="preserve"> vario tipo e oggi bonificate.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Si tratta di una zona carsica di bassissima permeabilità, onde sarebbe pressoché impossibile l’infiltrazione nell</w:t>
      </w:r>
      <w:r>
        <w:rPr>
          <w:rFonts w:ascii="Times New Roman" w:hAnsi="Times New Roman" w:cs="Times New Roman"/>
          <w:bCs/>
          <w:sz w:val="24"/>
          <w:szCs w:val="24"/>
        </w:rPr>
        <w:t>o stato acquifero sottostante.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La proprietà della ricorrente confina con il sito di proprietà </w:t>
      </w:r>
      <w:r w:rsidR="00120DBA">
        <w:rPr>
          <w:rFonts w:ascii="Times New Roman" w:hAnsi="Times New Roman" w:cs="Times New Roman"/>
          <w:bCs/>
          <w:sz w:val="24"/>
          <w:szCs w:val="24"/>
        </w:rPr>
        <w:t>S.</w:t>
      </w:r>
      <w:r w:rsidRPr="000025E4">
        <w:rPr>
          <w:rFonts w:ascii="Times New Roman" w:hAnsi="Times New Roman" w:cs="Times New Roman"/>
          <w:bCs/>
          <w:sz w:val="24"/>
          <w:szCs w:val="24"/>
        </w:rPr>
        <w:t xml:space="preserve">, in cui in passato era situata la raffineria Aquila, su cui è stata rilevata </w:t>
      </w:r>
      <w:r>
        <w:rPr>
          <w:rFonts w:ascii="Times New Roman" w:hAnsi="Times New Roman" w:cs="Times New Roman"/>
          <w:bCs/>
          <w:sz w:val="24"/>
          <w:szCs w:val="24"/>
        </w:rPr>
        <w:t>contaminazione da idrocarburi.</w:t>
      </w:r>
    </w:p>
    <w:p w:rsidR="000025E4" w:rsidRDefault="00120DBA" w:rsidP="000025E4">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 E.</w:t>
      </w:r>
      <w:r w:rsidR="000025E4" w:rsidRPr="000025E4">
        <w:rPr>
          <w:rFonts w:ascii="Times New Roman" w:hAnsi="Times New Roman" w:cs="Times New Roman"/>
          <w:bCs/>
          <w:sz w:val="24"/>
          <w:szCs w:val="24"/>
        </w:rPr>
        <w:t xml:space="preserve"> ha condotto in passato una attività di monitoraggio in collaborazione col Comune di Muggia e con ARPA mediante sond</w:t>
      </w:r>
      <w:r w:rsidR="000025E4">
        <w:rPr>
          <w:rFonts w:ascii="Times New Roman" w:hAnsi="Times New Roman" w:cs="Times New Roman"/>
          <w:bCs/>
          <w:sz w:val="24"/>
          <w:szCs w:val="24"/>
        </w:rPr>
        <w:t>aggi geognostici e piezometri.</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E’ stato rinvenuto del benzene, ma con concentrazioni inferiori a quelle ammesse, onde è stato escluso che si dovessero porre in atto nel sito mi</w:t>
      </w:r>
      <w:r>
        <w:rPr>
          <w:rFonts w:ascii="Times New Roman" w:hAnsi="Times New Roman" w:cs="Times New Roman"/>
          <w:bCs/>
          <w:sz w:val="24"/>
          <w:szCs w:val="24"/>
        </w:rPr>
        <w:t>sure di sicurezza d’emergenza.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Pare quindi evidente che il fenomeno non potesse aver origine nei propri terreni ma in aree situate al di fuori dei propri confini. Invero, con un parere ARPA del 2003, reso in conferenza di servizi ne è stata accertata la provenienza dall’area </w:t>
      </w:r>
      <w:r w:rsidR="00120DBA">
        <w:rPr>
          <w:rFonts w:ascii="Times New Roman" w:hAnsi="Times New Roman" w:cs="Times New Roman"/>
          <w:bCs/>
          <w:sz w:val="24"/>
          <w:szCs w:val="24"/>
        </w:rPr>
        <w:t>S.</w:t>
      </w:r>
      <w:r w:rsidRPr="000025E4">
        <w:rPr>
          <w:rFonts w:ascii="Times New Roman" w:hAnsi="Times New Roman" w:cs="Times New Roman"/>
          <w:bCs/>
          <w:sz w:val="24"/>
          <w:szCs w:val="24"/>
        </w:rPr>
        <w:t xml:space="preserve">, che ha, al riguardo, messo in atto un programma </w:t>
      </w:r>
      <w:r>
        <w:rPr>
          <w:rFonts w:ascii="Times New Roman" w:hAnsi="Times New Roman" w:cs="Times New Roman"/>
          <w:bCs/>
          <w:sz w:val="24"/>
          <w:szCs w:val="24"/>
        </w:rPr>
        <w:t>di sicurezza d’emergenza.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In seguito a una ulteriore conferenza di servizi, peraltro di carattere solo istruttorio, è stata proposta anche alla </w:t>
      </w:r>
      <w:r w:rsidR="00120DBA">
        <w:rPr>
          <w:rFonts w:ascii="Times New Roman" w:hAnsi="Times New Roman" w:cs="Times New Roman"/>
          <w:bCs/>
          <w:sz w:val="24"/>
          <w:szCs w:val="24"/>
        </w:rPr>
        <w:t>E.</w:t>
      </w:r>
      <w:r w:rsidRPr="000025E4">
        <w:rPr>
          <w:rFonts w:ascii="Times New Roman" w:hAnsi="Times New Roman" w:cs="Times New Roman"/>
          <w:bCs/>
          <w:sz w:val="24"/>
          <w:szCs w:val="24"/>
        </w:rPr>
        <w:t xml:space="preserve"> la misura di messa in sicurezza d’emergenza, ma la società ha ritenuto sufficiente allo scopo l’avvalersi dei piezometri già esistenti per una attività di emungimento dell’unico parametro </w:t>
      </w:r>
      <w:r>
        <w:rPr>
          <w:rFonts w:ascii="Times New Roman" w:hAnsi="Times New Roman" w:cs="Times New Roman"/>
          <w:bCs/>
          <w:sz w:val="24"/>
          <w:szCs w:val="24"/>
        </w:rPr>
        <w:t>individuato, cioè del benzene.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Poiché nella successiva conferenza di servizi decisoria del 2004, che ha intimato la messa in atto di tali misure nel SIN di Trieste, la ricorrente non risultava fra le aziende convocate né le è stato inviato il relativo verbale, essa ha ritenuto di non essere destin</w:t>
      </w:r>
      <w:r>
        <w:rPr>
          <w:rFonts w:ascii="Times New Roman" w:hAnsi="Times New Roman" w:cs="Times New Roman"/>
          <w:bCs/>
          <w:sz w:val="24"/>
          <w:szCs w:val="24"/>
        </w:rPr>
        <w:t>ataria di alcun provvedimento.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Nella successiva conferenza di servizi del 27.4.2005 le è stata invece intimata “l’immediata realizzazione” di tali misure, ribadendo l’obbligo nella successiva conferenza del 13.10.2005 costringendola ad impugnarle, deducendo altresì motivi aggiunti. Il ricorso n. 286 del 2005 è stato accolto da questo TAR, che ha, fra l’altro, rilevato che la ricorrente non era responsabile dell’inquinamento della falda né erano utili, dato il suo carattere cir</w:t>
      </w:r>
      <w:r>
        <w:rPr>
          <w:rFonts w:ascii="Times New Roman" w:hAnsi="Times New Roman" w:cs="Times New Roman"/>
          <w:bCs/>
          <w:sz w:val="24"/>
          <w:szCs w:val="24"/>
        </w:rPr>
        <w:t>coscritto, particolari misure.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Le ulteriori misurazioni, inviate dalla società istante al Ministero intimato nel 2007 è emerso il superamento dei parametri </w:t>
      </w:r>
      <w:proofErr w:type="spellStart"/>
      <w:r w:rsidRPr="000025E4">
        <w:rPr>
          <w:rFonts w:ascii="Times New Roman" w:hAnsi="Times New Roman" w:cs="Times New Roman"/>
          <w:bCs/>
          <w:sz w:val="24"/>
          <w:szCs w:val="24"/>
        </w:rPr>
        <w:t>indeno</w:t>
      </w:r>
      <w:proofErr w:type="spellEnd"/>
      <w:r w:rsidRPr="000025E4">
        <w:rPr>
          <w:rFonts w:ascii="Times New Roman" w:hAnsi="Times New Roman" w:cs="Times New Roman"/>
          <w:bCs/>
          <w:sz w:val="24"/>
          <w:szCs w:val="24"/>
        </w:rPr>
        <w:t>, pirene e idrocarburi totali, casi assolutamente isolati, che quelle effettuate nei mesi su</w:t>
      </w:r>
      <w:r>
        <w:rPr>
          <w:rFonts w:ascii="Times New Roman" w:hAnsi="Times New Roman" w:cs="Times New Roman"/>
          <w:bCs/>
          <w:sz w:val="24"/>
          <w:szCs w:val="24"/>
        </w:rPr>
        <w:t>ccessivi non hanno confermato.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Peraltro con il verbale della conferenza dei servizi del 18.6.2008, approvati con decreto direttoriale 30.7.2008 si dà atto che l’ARPA avrebbe rilevato quattro superamenti del parametro MTBE e si è imposto alla ricorrente non solo di continuare a monitorare le acque di falda ma altresì di adottare misure di messa in sicurezza di e</w:t>
      </w:r>
      <w:r>
        <w:rPr>
          <w:rFonts w:ascii="Times New Roman" w:hAnsi="Times New Roman" w:cs="Times New Roman"/>
          <w:bCs/>
          <w:sz w:val="24"/>
          <w:szCs w:val="24"/>
        </w:rPr>
        <w:t>mergenza delle acque di falda.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Ritenendo tale imposizione illegi</w:t>
      </w:r>
      <w:r>
        <w:rPr>
          <w:rFonts w:ascii="Times New Roman" w:hAnsi="Times New Roman" w:cs="Times New Roman"/>
          <w:bCs/>
          <w:sz w:val="24"/>
          <w:szCs w:val="24"/>
        </w:rPr>
        <w:t>ttima la si impugna deducendo: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1) Violazione e falsa applicazione dell’art. 23 Cost. e degli artt. 240, 242, 244, 250, 252 e 253 del D. </w:t>
      </w:r>
      <w:proofErr w:type="spellStart"/>
      <w:r w:rsidRPr="000025E4">
        <w:rPr>
          <w:rFonts w:ascii="Times New Roman" w:hAnsi="Times New Roman" w:cs="Times New Roman"/>
          <w:bCs/>
          <w:sz w:val="24"/>
          <w:szCs w:val="24"/>
        </w:rPr>
        <w:t>Lgs</w:t>
      </w:r>
      <w:proofErr w:type="spellEnd"/>
      <w:r w:rsidRPr="000025E4">
        <w:rPr>
          <w:rFonts w:ascii="Times New Roman" w:hAnsi="Times New Roman" w:cs="Times New Roman"/>
          <w:bCs/>
          <w:sz w:val="24"/>
          <w:szCs w:val="24"/>
        </w:rPr>
        <w:t>. 152 del 2006 nonché travisamento dei presupposti, difetto di istruttoria, erroneità della motivazione, contraddittorietà, sviamen</w:t>
      </w:r>
      <w:r>
        <w:rPr>
          <w:rFonts w:ascii="Times New Roman" w:hAnsi="Times New Roman" w:cs="Times New Roman"/>
          <w:bCs/>
          <w:sz w:val="24"/>
          <w:szCs w:val="24"/>
        </w:rPr>
        <w:t>to e violazione del giudicato;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La citata sentenza di questo TAR, passata in giudicato, avrebbe g</w:t>
      </w:r>
      <w:r>
        <w:rPr>
          <w:rFonts w:ascii="Times New Roman" w:hAnsi="Times New Roman" w:cs="Times New Roman"/>
          <w:bCs/>
          <w:sz w:val="24"/>
          <w:szCs w:val="24"/>
        </w:rPr>
        <w:t xml:space="preserve">ià acclarato che non può essere </w:t>
      </w:r>
      <w:r w:rsidRPr="000025E4">
        <w:rPr>
          <w:rFonts w:ascii="Times New Roman" w:hAnsi="Times New Roman" w:cs="Times New Roman"/>
          <w:bCs/>
          <w:sz w:val="24"/>
          <w:szCs w:val="24"/>
        </w:rPr>
        <w:lastRenderedPageBreak/>
        <w:t xml:space="preserve">imputata in alcun modo ad </w:t>
      </w:r>
      <w:r w:rsidR="00120DBA">
        <w:rPr>
          <w:rFonts w:ascii="Times New Roman" w:hAnsi="Times New Roman" w:cs="Times New Roman"/>
          <w:bCs/>
          <w:sz w:val="24"/>
          <w:szCs w:val="24"/>
        </w:rPr>
        <w:t>E.</w:t>
      </w:r>
      <w:r w:rsidRPr="000025E4">
        <w:rPr>
          <w:rFonts w:ascii="Times New Roman" w:hAnsi="Times New Roman" w:cs="Times New Roman"/>
          <w:bCs/>
          <w:sz w:val="24"/>
          <w:szCs w:val="24"/>
        </w:rPr>
        <w:t xml:space="preserve"> la presenza di agenti inquinanti nelle acque di falda sottostanti la sua proprietà, né sarebbe sopravvenuto alcun accertam</w:t>
      </w:r>
      <w:r>
        <w:rPr>
          <w:rFonts w:ascii="Times New Roman" w:hAnsi="Times New Roman" w:cs="Times New Roman"/>
          <w:bCs/>
          <w:sz w:val="24"/>
          <w:szCs w:val="24"/>
        </w:rPr>
        <w:t>ento istruttorio in contrario.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Mancherebbe, in ogni caso, l’accertamento della responsabilità della ricorrente in ordine all’inquinamento rilevato e il Codice dell’ambiente </w:t>
      </w:r>
      <w:proofErr w:type="spellStart"/>
      <w:r w:rsidRPr="000025E4">
        <w:rPr>
          <w:rFonts w:ascii="Times New Roman" w:hAnsi="Times New Roman" w:cs="Times New Roman"/>
          <w:bCs/>
          <w:sz w:val="24"/>
          <w:szCs w:val="24"/>
        </w:rPr>
        <w:t>prevederebbe</w:t>
      </w:r>
      <w:proofErr w:type="spellEnd"/>
      <w:r w:rsidRPr="000025E4">
        <w:rPr>
          <w:rFonts w:ascii="Times New Roman" w:hAnsi="Times New Roman" w:cs="Times New Roman"/>
          <w:bCs/>
          <w:sz w:val="24"/>
          <w:szCs w:val="24"/>
        </w:rPr>
        <w:t xml:space="preserve"> che il proprietario incolpevole del sito inquinato ha solo la facoltà, ove non si rinvenga il responsabile o questi non provveda, ma non l’obbligo di farsi carico</w:t>
      </w:r>
      <w:r>
        <w:rPr>
          <w:rFonts w:ascii="Times New Roman" w:hAnsi="Times New Roman" w:cs="Times New Roman"/>
          <w:bCs/>
          <w:sz w:val="24"/>
          <w:szCs w:val="24"/>
        </w:rPr>
        <w:t xml:space="preserve"> degli interventi di bonifica.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Quest’ultimo, inoltre, ove provveda l’amministrazione, non è tenuto a rimborsarla degli oneri sostenuti, ma solo a riconoscerle una s</w:t>
      </w:r>
      <w:r>
        <w:rPr>
          <w:rFonts w:ascii="Times New Roman" w:hAnsi="Times New Roman" w:cs="Times New Roman"/>
          <w:bCs/>
          <w:sz w:val="24"/>
          <w:szCs w:val="24"/>
        </w:rPr>
        <w:t>omma pari al valore dell’area.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In particolare, per quanto riguarda il parametro MTBE, dato che le maggiori concentrazioni sono state rilevate a monte del flusso degli acquiferi, ciò dimostrerebbe che l’elemento proviene dall’esterno del sito </w:t>
      </w:r>
      <w:r>
        <w:rPr>
          <w:rFonts w:ascii="Times New Roman" w:hAnsi="Times New Roman" w:cs="Times New Roman"/>
          <w:bCs/>
          <w:sz w:val="24"/>
          <w:szCs w:val="24"/>
        </w:rPr>
        <w:t>di proprietà della ricorrente.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Inoltre i serbatoi di benzina della ricorrente non contengono tale sostanza, che ha iniziato ad essere usata come additivo del carburante dopo l’acquisizione di detti serbatoi da </w:t>
      </w:r>
      <w:r>
        <w:rPr>
          <w:rFonts w:ascii="Times New Roman" w:hAnsi="Times New Roman" w:cs="Times New Roman"/>
          <w:bCs/>
          <w:sz w:val="24"/>
          <w:szCs w:val="24"/>
        </w:rPr>
        <w:t xml:space="preserve">parte della </w:t>
      </w:r>
      <w:r w:rsidR="00120DBA">
        <w:rPr>
          <w:rFonts w:ascii="Times New Roman" w:hAnsi="Times New Roman" w:cs="Times New Roman"/>
          <w:bCs/>
          <w:sz w:val="24"/>
          <w:szCs w:val="24"/>
        </w:rPr>
        <w:t>E.</w:t>
      </w:r>
      <w:r>
        <w:rPr>
          <w:rFonts w:ascii="Times New Roman" w:hAnsi="Times New Roman" w:cs="Times New Roman"/>
          <w:bCs/>
          <w:sz w:val="24"/>
          <w:szCs w:val="24"/>
        </w:rPr>
        <w:t>.</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Sono stati peraltro rilevati altri due parametri: il benzopirene e idrocarburi totali, ma, tranne che in sole due occasioni, la loro concentrazione è stata mantenuta entro i limiti di legge o, comunque, senza responsabilità della ricor</w:t>
      </w:r>
      <w:r>
        <w:rPr>
          <w:rFonts w:ascii="Times New Roman" w:hAnsi="Times New Roman" w:cs="Times New Roman"/>
          <w:bCs/>
          <w:sz w:val="24"/>
          <w:szCs w:val="24"/>
        </w:rPr>
        <w:t>rente.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2) Violazione e falsa applicazione dell’art. 23 Cost. e degli artt. 144, 240, 242, 244, 250, 252 e 253 del D. </w:t>
      </w:r>
      <w:proofErr w:type="spellStart"/>
      <w:r w:rsidRPr="000025E4">
        <w:rPr>
          <w:rFonts w:ascii="Times New Roman" w:hAnsi="Times New Roman" w:cs="Times New Roman"/>
          <w:bCs/>
          <w:sz w:val="24"/>
          <w:szCs w:val="24"/>
        </w:rPr>
        <w:t>Lgs</w:t>
      </w:r>
      <w:proofErr w:type="spellEnd"/>
      <w:r w:rsidRPr="000025E4">
        <w:rPr>
          <w:rFonts w:ascii="Times New Roman" w:hAnsi="Times New Roman" w:cs="Times New Roman"/>
          <w:bCs/>
          <w:sz w:val="24"/>
          <w:szCs w:val="24"/>
        </w:rPr>
        <w:t xml:space="preserve">. 152 del 2006 nonché travisamento dei presupposti, difetto di istruttoria, erroneità della motivazione, contraddittorietà, difetto di </w:t>
      </w:r>
      <w:r>
        <w:rPr>
          <w:rFonts w:ascii="Times New Roman" w:hAnsi="Times New Roman" w:cs="Times New Roman"/>
          <w:bCs/>
          <w:sz w:val="24"/>
          <w:szCs w:val="24"/>
        </w:rPr>
        <w:t>motivazione;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Poiché le acque di falda sono di proprietà pubblica, ai sensi del citato art. 144, l’obbligo di intervento dovrebbe rimanere a carico d</w:t>
      </w:r>
      <w:r>
        <w:rPr>
          <w:rFonts w:ascii="Times New Roman" w:hAnsi="Times New Roman" w:cs="Times New Roman"/>
          <w:bCs/>
          <w:sz w:val="24"/>
          <w:szCs w:val="24"/>
        </w:rPr>
        <w:t>ella pubblica amministrazione;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3) Violazione e falsa applicazione dell’art. 23 Cost. e degli artt. 240, 242, 244, 250, 252, 253 e 265 del D. </w:t>
      </w:r>
      <w:proofErr w:type="spellStart"/>
      <w:r w:rsidRPr="000025E4">
        <w:rPr>
          <w:rFonts w:ascii="Times New Roman" w:hAnsi="Times New Roman" w:cs="Times New Roman"/>
          <w:bCs/>
          <w:sz w:val="24"/>
          <w:szCs w:val="24"/>
        </w:rPr>
        <w:t>Lgs</w:t>
      </w:r>
      <w:proofErr w:type="spellEnd"/>
      <w:r w:rsidRPr="000025E4">
        <w:rPr>
          <w:rFonts w:ascii="Times New Roman" w:hAnsi="Times New Roman" w:cs="Times New Roman"/>
          <w:bCs/>
          <w:sz w:val="24"/>
          <w:szCs w:val="24"/>
        </w:rPr>
        <w:t xml:space="preserve">. 152 del 2006 nonché travisamento dei presupposti, difetto di istruttoria, erroneità della motivazione, </w:t>
      </w:r>
      <w:r>
        <w:rPr>
          <w:rFonts w:ascii="Times New Roman" w:hAnsi="Times New Roman" w:cs="Times New Roman"/>
          <w:bCs/>
          <w:sz w:val="24"/>
          <w:szCs w:val="24"/>
        </w:rPr>
        <w:t>contraddittorietà e sviamento;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Per quanto riguarda il benzopirene e gli idrocarburi totali mancherebbe il presupposto del superamento dei limiti tabellari, che è stato riscontrato solo </w:t>
      </w:r>
      <w:r>
        <w:rPr>
          <w:rFonts w:ascii="Times New Roman" w:hAnsi="Times New Roman" w:cs="Times New Roman"/>
          <w:bCs/>
          <w:sz w:val="24"/>
          <w:szCs w:val="24"/>
        </w:rPr>
        <w:t>in due casi isolati e casuali.</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Peraltro solo il rilevamento di concentrazioni soglia di contaminazione (CSC) comporterebbero l’onere di effettuare le caratterizzazioni, mentre il rispristino ambientale diventerebbe indispensabile se detta contaminazione fosse superiore alle concentrazioni soglia di rischio (CSR) ai sensi dell’art. </w:t>
      </w:r>
      <w:r>
        <w:rPr>
          <w:rFonts w:ascii="Times New Roman" w:hAnsi="Times New Roman" w:cs="Times New Roman"/>
          <w:bCs/>
          <w:sz w:val="24"/>
          <w:szCs w:val="24"/>
        </w:rPr>
        <w:t xml:space="preserve">240 del D. </w:t>
      </w:r>
      <w:proofErr w:type="spellStart"/>
      <w:r>
        <w:rPr>
          <w:rFonts w:ascii="Times New Roman" w:hAnsi="Times New Roman" w:cs="Times New Roman"/>
          <w:bCs/>
          <w:sz w:val="24"/>
          <w:szCs w:val="24"/>
        </w:rPr>
        <w:t>Lgs</w:t>
      </w:r>
      <w:proofErr w:type="spellEnd"/>
      <w:r>
        <w:rPr>
          <w:rFonts w:ascii="Times New Roman" w:hAnsi="Times New Roman" w:cs="Times New Roman"/>
          <w:bCs/>
          <w:sz w:val="24"/>
          <w:szCs w:val="24"/>
        </w:rPr>
        <w:t xml:space="preserve"> n. 152 dl 2006.</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Se il sito supera le CSC, in base alla norma in esame, è classificato come potenzialmente contaminato, ma è da ritenersi contaminato soltanto se supera le CSR. Se sono rispettate le CSR il sito è quali</w:t>
      </w:r>
      <w:r>
        <w:rPr>
          <w:rFonts w:ascii="Times New Roman" w:hAnsi="Times New Roman" w:cs="Times New Roman"/>
          <w:bCs/>
          <w:sz w:val="24"/>
          <w:szCs w:val="24"/>
        </w:rPr>
        <w:t>ficato come “non contaminato”.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Il disposto dell’art. 5 della conferenza di servizi, che impone l’immediata adozione di misure di messa in sicurezza d’emergenza, eliminerebbe ogni distinzione fra CSC e CSR, onde individuare se sia indispensabile o non un intervento di risanamento e sarebbe stato disposto senza un’anali</w:t>
      </w:r>
      <w:r>
        <w:rPr>
          <w:rFonts w:ascii="Times New Roman" w:hAnsi="Times New Roman" w:cs="Times New Roman"/>
          <w:bCs/>
          <w:sz w:val="24"/>
          <w:szCs w:val="24"/>
        </w:rPr>
        <w:t>si specifica della situazione;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4) Violazione e falsa applicazione dell’art. 23 Cost. e degli artt. 240, 242, 244, 250, 252, 253 e 265 del D. </w:t>
      </w:r>
      <w:proofErr w:type="spellStart"/>
      <w:r w:rsidRPr="000025E4">
        <w:rPr>
          <w:rFonts w:ascii="Times New Roman" w:hAnsi="Times New Roman" w:cs="Times New Roman"/>
          <w:bCs/>
          <w:sz w:val="24"/>
          <w:szCs w:val="24"/>
        </w:rPr>
        <w:t>Lgs</w:t>
      </w:r>
      <w:proofErr w:type="spellEnd"/>
      <w:r w:rsidRPr="000025E4">
        <w:rPr>
          <w:rFonts w:ascii="Times New Roman" w:hAnsi="Times New Roman" w:cs="Times New Roman"/>
          <w:bCs/>
          <w:sz w:val="24"/>
          <w:szCs w:val="24"/>
        </w:rPr>
        <w:t xml:space="preserve">. 152 del 2006 nonché travisamento dei presupposti, difetto di istruttoria, erroneità della motivazione, </w:t>
      </w:r>
      <w:r>
        <w:rPr>
          <w:rFonts w:ascii="Times New Roman" w:hAnsi="Times New Roman" w:cs="Times New Roman"/>
          <w:bCs/>
          <w:sz w:val="24"/>
          <w:szCs w:val="24"/>
        </w:rPr>
        <w:t>contraddittorietà e sviamento;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Per quanto concerne il MTBE il rilievo, contenuto bell’atto impugnato, si fonda sulla constatazione che il relativo valore limite sarebbe stato superato quattro volte. Tale valore, peraltro, nella misura riscontrata, sarebbe, al più, idoneo a qualificare il sito come soltanto potenzialmente co</w:t>
      </w:r>
      <w:r>
        <w:rPr>
          <w:rFonts w:ascii="Times New Roman" w:hAnsi="Times New Roman" w:cs="Times New Roman"/>
          <w:bCs/>
          <w:sz w:val="24"/>
          <w:szCs w:val="24"/>
        </w:rPr>
        <w:t>ntaminato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Inoltre l’amministrazione farebbe riferimento, nel misurarlo, a un limite di concentrazione, stabilito dall’Istituto superiore di sanità nel 2001, che non sarebbe più attuale, mentre il D. </w:t>
      </w:r>
      <w:proofErr w:type="spellStart"/>
      <w:r w:rsidRPr="000025E4">
        <w:rPr>
          <w:rFonts w:ascii="Times New Roman" w:hAnsi="Times New Roman" w:cs="Times New Roman"/>
          <w:bCs/>
          <w:sz w:val="24"/>
          <w:szCs w:val="24"/>
        </w:rPr>
        <w:t>Lgs</w:t>
      </w:r>
      <w:proofErr w:type="spellEnd"/>
      <w:r w:rsidRPr="000025E4">
        <w:rPr>
          <w:rFonts w:ascii="Times New Roman" w:hAnsi="Times New Roman" w:cs="Times New Roman"/>
          <w:bCs/>
          <w:sz w:val="24"/>
          <w:szCs w:val="24"/>
        </w:rPr>
        <w:t>. n. 152 del 2006 non stabilirebbe alcun valore tabellare per detto parametro, e lo stesso Istituto, per le acque da destinare al consumo umano, farebbe riferimento, nel 2004,</w:t>
      </w:r>
      <w:r>
        <w:rPr>
          <w:rFonts w:ascii="Times New Roman" w:hAnsi="Times New Roman" w:cs="Times New Roman"/>
          <w:bCs/>
          <w:sz w:val="24"/>
          <w:szCs w:val="24"/>
        </w:rPr>
        <w:t xml:space="preserve"> a un valore limite superiore.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5) Violazione e falsa applicazione dell’art. 23 Cost. e degli artt. 240, 242, 244, 250, 252, 253 e 265 del D. </w:t>
      </w:r>
      <w:proofErr w:type="spellStart"/>
      <w:r w:rsidRPr="000025E4">
        <w:rPr>
          <w:rFonts w:ascii="Times New Roman" w:hAnsi="Times New Roman" w:cs="Times New Roman"/>
          <w:bCs/>
          <w:sz w:val="24"/>
          <w:szCs w:val="24"/>
        </w:rPr>
        <w:t>Lgs</w:t>
      </w:r>
      <w:proofErr w:type="spellEnd"/>
      <w:r w:rsidRPr="000025E4">
        <w:rPr>
          <w:rFonts w:ascii="Times New Roman" w:hAnsi="Times New Roman" w:cs="Times New Roman"/>
          <w:bCs/>
          <w:sz w:val="24"/>
          <w:szCs w:val="24"/>
        </w:rPr>
        <w:t>. 152 del 2006 nonché del suo allegato 3, parte IV . Violazione dell’art. 1 della L. 241 del 1990 per violazione del principio di proporzionalità dell’azione amministrativa, nonché travisamento dei presupposti, difetto di istruttoria, erroneità della motivazi</w:t>
      </w:r>
      <w:r>
        <w:rPr>
          <w:rFonts w:ascii="Times New Roman" w:hAnsi="Times New Roman" w:cs="Times New Roman"/>
          <w:bCs/>
          <w:sz w:val="24"/>
          <w:szCs w:val="24"/>
        </w:rPr>
        <w:t xml:space="preserve">one. Violazione del </w:t>
      </w:r>
      <w:r>
        <w:rPr>
          <w:rFonts w:ascii="Times New Roman" w:hAnsi="Times New Roman" w:cs="Times New Roman"/>
          <w:bCs/>
          <w:sz w:val="24"/>
          <w:szCs w:val="24"/>
        </w:rPr>
        <w:lastRenderedPageBreak/>
        <w:t>giudicato.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Trattandosi di prescriver la messa in sicurezza d’emergenza per arrestare la diffusione degli inquinanti non se ne ravviserebbe il presupposto, non ravvisandosi alcuna situazione d’urgenza, essendo la situazione contestata effetto di un passato remoto (e la mancanza d’urgenza sarebbe stata constatata dalla stessa ARPA).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Inoltre le indagini eseguite dalla ricorrente hanno dimostrato la scarsa permeabilità del terreno e l’inesistenza di una vera e propria falda al di sotto del sito. Non vi sarebbero spiegazioni sul punto da parte delle amministrazioni intimate e non sarebbe spiegato perché, in assenza di un veicolo acquifero, vi sarebbe pericolo che gli inquinanti trasmodino in altri terreni. Incombe peraltro sull’amministrazione l’onere di dimostrare la necessità dell’intervento prescritto, mentre sul punto si risc</w:t>
      </w:r>
      <w:r>
        <w:rPr>
          <w:rFonts w:ascii="Times New Roman" w:hAnsi="Times New Roman" w:cs="Times New Roman"/>
          <w:bCs/>
          <w:sz w:val="24"/>
          <w:szCs w:val="24"/>
        </w:rPr>
        <w:t>ontra un sostanziale silenzio.</w:t>
      </w:r>
    </w:p>
    <w:p w:rsidR="000025E4" w:rsidRP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Si sono costituiti in giudizio la S</w:t>
      </w:r>
      <w:r w:rsidR="00120DBA">
        <w:rPr>
          <w:rFonts w:ascii="Times New Roman" w:hAnsi="Times New Roman" w:cs="Times New Roman"/>
          <w:bCs/>
          <w:sz w:val="24"/>
          <w:szCs w:val="24"/>
        </w:rPr>
        <w:t>.</w:t>
      </w:r>
      <w:r w:rsidRPr="000025E4">
        <w:rPr>
          <w:rFonts w:ascii="Times New Roman" w:hAnsi="Times New Roman" w:cs="Times New Roman"/>
          <w:bCs/>
          <w:sz w:val="24"/>
          <w:szCs w:val="24"/>
        </w:rPr>
        <w:t xml:space="preserve"> I</w:t>
      </w:r>
      <w:r w:rsidR="00120DBA">
        <w:rPr>
          <w:rFonts w:ascii="Times New Roman" w:hAnsi="Times New Roman" w:cs="Times New Roman"/>
          <w:bCs/>
          <w:sz w:val="24"/>
          <w:szCs w:val="24"/>
        </w:rPr>
        <w:t>.</w:t>
      </w:r>
      <w:r w:rsidRPr="000025E4">
        <w:rPr>
          <w:rFonts w:ascii="Times New Roman" w:hAnsi="Times New Roman" w:cs="Times New Roman"/>
          <w:bCs/>
          <w:sz w:val="24"/>
          <w:szCs w:val="24"/>
        </w:rPr>
        <w:t xml:space="preserve"> spa, l’Istituto superiore di Sanità e il Ministero dell’ambiente e della tutela del territorio e del mare, </w:t>
      </w:r>
      <w:proofErr w:type="spellStart"/>
      <w:r w:rsidRPr="000025E4">
        <w:rPr>
          <w:rFonts w:ascii="Times New Roman" w:hAnsi="Times New Roman" w:cs="Times New Roman"/>
          <w:bCs/>
          <w:sz w:val="24"/>
          <w:szCs w:val="24"/>
        </w:rPr>
        <w:t>controdeducendo</w:t>
      </w:r>
      <w:proofErr w:type="spellEnd"/>
      <w:r w:rsidRPr="000025E4">
        <w:rPr>
          <w:rFonts w:ascii="Times New Roman" w:hAnsi="Times New Roman" w:cs="Times New Roman"/>
          <w:bCs/>
          <w:sz w:val="24"/>
          <w:szCs w:val="24"/>
        </w:rPr>
        <w:t>.</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br/>
        <w:t>DIRITTO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Rileva preliminarmente il Collegio che il ricorso è stato notificato anche alla S</w:t>
      </w:r>
      <w:r w:rsidR="00120DBA">
        <w:rPr>
          <w:rFonts w:ascii="Times New Roman" w:hAnsi="Times New Roman" w:cs="Times New Roman"/>
          <w:bCs/>
          <w:sz w:val="24"/>
          <w:szCs w:val="24"/>
        </w:rPr>
        <w:t>.</w:t>
      </w:r>
      <w:r w:rsidRPr="000025E4">
        <w:rPr>
          <w:rFonts w:ascii="Times New Roman" w:hAnsi="Times New Roman" w:cs="Times New Roman"/>
          <w:bCs/>
          <w:sz w:val="24"/>
          <w:szCs w:val="24"/>
        </w:rPr>
        <w:t xml:space="preserve"> spa (già S</w:t>
      </w:r>
      <w:r w:rsidR="00120DBA">
        <w:rPr>
          <w:rFonts w:ascii="Times New Roman" w:hAnsi="Times New Roman" w:cs="Times New Roman"/>
          <w:bCs/>
          <w:sz w:val="24"/>
          <w:szCs w:val="24"/>
        </w:rPr>
        <w:t>.</w:t>
      </w:r>
      <w:r w:rsidRPr="000025E4">
        <w:rPr>
          <w:rFonts w:ascii="Times New Roman" w:hAnsi="Times New Roman" w:cs="Times New Roman"/>
          <w:bCs/>
          <w:sz w:val="24"/>
          <w:szCs w:val="24"/>
        </w:rPr>
        <w:t xml:space="preserve">) che si è costituita in giudizio, </w:t>
      </w:r>
      <w:r>
        <w:rPr>
          <w:rFonts w:ascii="Times New Roman" w:hAnsi="Times New Roman" w:cs="Times New Roman"/>
          <w:bCs/>
          <w:sz w:val="24"/>
          <w:szCs w:val="24"/>
        </w:rPr>
        <w:t>depositando memoria difensiva.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Sembra al Collegio che tale notificazione abbia il significato, come del resto si deduce dal ricorso, di sostenere che le sostanze inquinanti rilevate dall’autorità provengano in realtà dal si</w:t>
      </w:r>
      <w:r>
        <w:rPr>
          <w:rFonts w:ascii="Times New Roman" w:hAnsi="Times New Roman" w:cs="Times New Roman"/>
          <w:bCs/>
          <w:sz w:val="24"/>
          <w:szCs w:val="24"/>
        </w:rPr>
        <w:t xml:space="preserve">to di detta </w:t>
      </w:r>
      <w:proofErr w:type="spellStart"/>
      <w:r>
        <w:rPr>
          <w:rFonts w:ascii="Times New Roman" w:hAnsi="Times New Roman" w:cs="Times New Roman"/>
          <w:bCs/>
          <w:sz w:val="24"/>
          <w:szCs w:val="24"/>
        </w:rPr>
        <w:t>controinteressata</w:t>
      </w:r>
      <w:proofErr w:type="spellEnd"/>
      <w:r>
        <w:rPr>
          <w:rFonts w:ascii="Times New Roman" w:hAnsi="Times New Roman" w:cs="Times New Roman"/>
          <w:bCs/>
          <w:sz w:val="24"/>
          <w:szCs w:val="24"/>
        </w:rPr>
        <w:t>.</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Peraltro detta tesi non risulta sviluppata nei motivi di gravame e comunque, se con essa si intende sostenere la responsabilità della </w:t>
      </w:r>
      <w:r w:rsidR="00120DBA">
        <w:rPr>
          <w:rFonts w:ascii="Times New Roman" w:hAnsi="Times New Roman" w:cs="Times New Roman"/>
          <w:bCs/>
          <w:sz w:val="24"/>
          <w:szCs w:val="24"/>
        </w:rPr>
        <w:t>S.</w:t>
      </w:r>
      <w:r w:rsidRPr="000025E4">
        <w:rPr>
          <w:rFonts w:ascii="Times New Roman" w:hAnsi="Times New Roman" w:cs="Times New Roman"/>
          <w:bCs/>
          <w:sz w:val="24"/>
          <w:szCs w:val="24"/>
        </w:rPr>
        <w:t xml:space="preserve"> sarà in altra sede che le dovrà essere espressamente richiesta la rifusione dell</w:t>
      </w:r>
      <w:r>
        <w:rPr>
          <w:rFonts w:ascii="Times New Roman" w:hAnsi="Times New Roman" w:cs="Times New Roman"/>
          <w:bCs/>
          <w:sz w:val="24"/>
          <w:szCs w:val="24"/>
        </w:rPr>
        <w:t>e spese di messa in sicurezza.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Allo stato il Collegio non può che disporne l’estromissione dal gi</w:t>
      </w:r>
      <w:r>
        <w:rPr>
          <w:rFonts w:ascii="Times New Roman" w:hAnsi="Times New Roman" w:cs="Times New Roman"/>
          <w:bCs/>
          <w:sz w:val="24"/>
          <w:szCs w:val="24"/>
        </w:rPr>
        <w:t>udizio, essendo essa carente di legittimazione in questa sede.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Dev’essere in limine ritenuto infondato l’assunto di parte ricorrente, secondo cui la materia, oggetto del presente ricorso, sarebbe ormai coperta dal giudicato, formatosi sul ricorso della stessa società ora istante, e deciso da questo TAR</w:t>
      </w:r>
      <w:r>
        <w:rPr>
          <w:rFonts w:ascii="Times New Roman" w:hAnsi="Times New Roman" w:cs="Times New Roman"/>
          <w:bCs/>
          <w:sz w:val="24"/>
          <w:szCs w:val="24"/>
        </w:rPr>
        <w:t xml:space="preserve"> con sentenza n. 300 del 2008.</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In contrario è sufficiente notare che detto ricorso è stato proposto nel 2005, avverso le conclusioni della conferenza di servizi decisoria del 27.4.2005, basate su atti istruttori ancora anteriori, n</w:t>
      </w:r>
      <w:r>
        <w:rPr>
          <w:rFonts w:ascii="Times New Roman" w:hAnsi="Times New Roman" w:cs="Times New Roman"/>
          <w:bCs/>
          <w:sz w:val="24"/>
          <w:szCs w:val="24"/>
        </w:rPr>
        <w:t>onché di quella del 14.2.2007.</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Al contrario nel caso di specie si impugna il punto 5 della conferenza di servizi decisoria del 18.6.2008, sulla base di quella istruttoria del 4.4.2008, e il decreto conclusivo del Direttore generale del Ministero dell’ambiente dd. 30.7.2008, nonché la relazione dell’Istituto sup</w:t>
      </w:r>
      <w:r>
        <w:rPr>
          <w:rFonts w:ascii="Times New Roman" w:hAnsi="Times New Roman" w:cs="Times New Roman"/>
          <w:bCs/>
          <w:sz w:val="24"/>
          <w:szCs w:val="24"/>
        </w:rPr>
        <w:t>eriore di Sanità dd. 8.1.2010.</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Altra rilevante differenza è che la sentenza citata, nella parte in cui accoglie il ricorso, lo fa nell’assunto che la ricorrente non possa essere ritenuta responsabile </w:t>
      </w:r>
      <w:r>
        <w:rPr>
          <w:rFonts w:ascii="Times New Roman" w:hAnsi="Times New Roman" w:cs="Times New Roman"/>
          <w:bCs/>
          <w:sz w:val="24"/>
          <w:szCs w:val="24"/>
        </w:rPr>
        <w:t>dell’inquinamento riscontrato.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Nel caso in esame, invero, come rilevato dal Ministero intimato nella memoria di costituzione, le prescrizioni impartite alla ricorrente non sono conseguenti a una qualche responsabilità ambient</w:t>
      </w:r>
      <w:r>
        <w:rPr>
          <w:rFonts w:ascii="Times New Roman" w:hAnsi="Times New Roman" w:cs="Times New Roman"/>
          <w:bCs/>
          <w:sz w:val="24"/>
          <w:szCs w:val="24"/>
        </w:rPr>
        <w:t>ale ad essa attribuita.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Se si considera che le predette misure tendono alla messa in sicurezza d’emergenza delle aree del sito inquinato è logico che tale premessa non faccia cenno a “soggetti responsabi</w:t>
      </w:r>
      <w:r>
        <w:rPr>
          <w:rFonts w:ascii="Times New Roman" w:hAnsi="Times New Roman" w:cs="Times New Roman"/>
          <w:bCs/>
          <w:sz w:val="24"/>
          <w:szCs w:val="24"/>
        </w:rPr>
        <w:t>li” ma a “soggetti obbligati”.</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Invero, ad avviso del Collegio, è qui applicabile l’art. 245, 2° comma, del D. </w:t>
      </w:r>
      <w:proofErr w:type="spellStart"/>
      <w:r w:rsidRPr="000025E4">
        <w:rPr>
          <w:rFonts w:ascii="Times New Roman" w:hAnsi="Times New Roman" w:cs="Times New Roman"/>
          <w:bCs/>
          <w:sz w:val="24"/>
          <w:szCs w:val="24"/>
        </w:rPr>
        <w:t>Lg</w:t>
      </w:r>
      <w:r>
        <w:rPr>
          <w:rFonts w:ascii="Times New Roman" w:hAnsi="Times New Roman" w:cs="Times New Roman"/>
          <w:bCs/>
          <w:sz w:val="24"/>
          <w:szCs w:val="24"/>
        </w:rPr>
        <w:t>s</w:t>
      </w:r>
      <w:proofErr w:type="spellEnd"/>
      <w:r>
        <w:rPr>
          <w:rFonts w:ascii="Times New Roman" w:hAnsi="Times New Roman" w:cs="Times New Roman"/>
          <w:bCs/>
          <w:sz w:val="24"/>
          <w:szCs w:val="24"/>
        </w:rPr>
        <w:t>. n. 152 del 2006 che recita: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“Fatti salvi gli obblighi del responsabile della potenziale contaminazione, di cui all’art. 242, il proprietario o gestore dell’area che rilevi il superamento o il pericolo concreto e attuale del superamento della concentrazione soglia di contaminazione (CSC) deve … attuare le misure di prevenzione secondo la p</w:t>
      </w:r>
      <w:r>
        <w:rPr>
          <w:rFonts w:ascii="Times New Roman" w:hAnsi="Times New Roman" w:cs="Times New Roman"/>
          <w:bCs/>
          <w:sz w:val="24"/>
          <w:szCs w:val="24"/>
        </w:rPr>
        <w:t>rocedura di cui all’art. 242”.</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Tali misure sono estese dal seguente art. 304 anche dove vi sia un pericolo</w:t>
      </w:r>
      <w:r>
        <w:rPr>
          <w:rFonts w:ascii="Times New Roman" w:hAnsi="Times New Roman" w:cs="Times New Roman"/>
          <w:bCs/>
          <w:sz w:val="24"/>
          <w:szCs w:val="24"/>
        </w:rPr>
        <w:t xml:space="preserve"> di inquinamento.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Vengono così estesi al proprietario gli obblighi che detto art. 242 fa gravare sul “responsabile </w:t>
      </w:r>
      <w:r w:rsidRPr="000025E4">
        <w:rPr>
          <w:rFonts w:ascii="Times New Roman" w:hAnsi="Times New Roman" w:cs="Times New Roman"/>
          <w:bCs/>
          <w:sz w:val="24"/>
          <w:szCs w:val="24"/>
        </w:rPr>
        <w:lastRenderedPageBreak/>
        <w:t xml:space="preserve">dell’inquinamento”, peraltro, relativamente al caso in esame, soltanto nella parte in cui che riguardano, come nella specie la “individuazione di contaminazioni storiche, che possano ancora comportare rischi di aggravamento della situazione di contaminazione ” e limitatamente “alle misure di prevenzione </w:t>
      </w:r>
      <w:r>
        <w:rPr>
          <w:rFonts w:ascii="Times New Roman" w:hAnsi="Times New Roman" w:cs="Times New Roman"/>
          <w:bCs/>
          <w:sz w:val="24"/>
          <w:szCs w:val="24"/>
        </w:rPr>
        <w:t>e messa in sicurezza adottate”.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Tale attività prescinde, quindi, da ogni addebito di responsabilità nei confronti del soggetto onerato, ma si esercita nei confronti del proprietario o del gestore solo perché il loto rapporto con l’area inquinata consente di intervenire con la sollecitudine richiesta dagl</w:t>
      </w:r>
      <w:r>
        <w:rPr>
          <w:rFonts w:ascii="Times New Roman" w:hAnsi="Times New Roman" w:cs="Times New Roman"/>
          <w:bCs/>
          <w:sz w:val="24"/>
          <w:szCs w:val="24"/>
        </w:rPr>
        <w:t>i interventi di questa specie.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Che poi l’inquinamento riscontrato non sussista affatto è mera illazione di parte ricorrente, smentita</w:t>
      </w:r>
      <w:r>
        <w:rPr>
          <w:rFonts w:ascii="Times New Roman" w:hAnsi="Times New Roman" w:cs="Times New Roman"/>
          <w:bCs/>
          <w:sz w:val="24"/>
          <w:szCs w:val="24"/>
        </w:rPr>
        <w:t xml:space="preserve"> dagli accertamenti dell’ARPA.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In ogni caso permane il dovere del proprietario di evitare, con opportune misure, la migrazione delle sostanze inquinanti, che altrimenti andrebber</w:t>
      </w:r>
      <w:r>
        <w:rPr>
          <w:rFonts w:ascii="Times New Roman" w:hAnsi="Times New Roman" w:cs="Times New Roman"/>
          <w:bCs/>
          <w:sz w:val="24"/>
          <w:szCs w:val="24"/>
        </w:rPr>
        <w:t>o a diffondersi in altri siti.</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Ne consegue l’infondatezz</w:t>
      </w:r>
      <w:r>
        <w:rPr>
          <w:rFonts w:ascii="Times New Roman" w:hAnsi="Times New Roman" w:cs="Times New Roman"/>
          <w:bCs/>
          <w:sz w:val="24"/>
          <w:szCs w:val="24"/>
        </w:rPr>
        <w:t>a del primo motivo di gravame.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Appare invero singolare la tesi che l’inquinamento delle acque pubbliche, anche sotterranee, di proprietà demaniale, debba essere rimediato con l’intervento del proprietario pubblico, cioè dello Stato, </w:t>
      </w:r>
      <w:r>
        <w:rPr>
          <w:rFonts w:ascii="Times New Roman" w:hAnsi="Times New Roman" w:cs="Times New Roman"/>
          <w:bCs/>
          <w:sz w:val="24"/>
          <w:szCs w:val="24"/>
        </w:rPr>
        <w:t>dedotta con il secondo motivo.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Ciò potrà valere per la bonifica finale, quando non sia attingibile il responsabile dell’abuso e non rimanga altro soggetto idoneo che la pubblica amministrazione, ma non per la messa in sicurezza d’emergenza, che incombe al “proprietario o al gestore dell’area” a’ sensi del richiamato art. 245, 2° comma della L. n. 152/2006, specie considerando che, se tale soggetto trascurasse il proprio dovere, inquinerebbe un bene altrui.</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Anche tale</w:t>
      </w:r>
      <w:r>
        <w:rPr>
          <w:rFonts w:ascii="Times New Roman" w:hAnsi="Times New Roman" w:cs="Times New Roman"/>
          <w:bCs/>
          <w:sz w:val="24"/>
          <w:szCs w:val="24"/>
        </w:rPr>
        <w:t xml:space="preserve"> doglianza è quindi infondata.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Con l’ulteriore terza censura proposta viene affermata la pretesa confusione, da parte dell’amministrazione, dei limiti di concentrazione il cui superamento determina un rischio attuale (CSR) qualificando il sito, e in particolare le falde, come contaminato sol perché si raggiunge il limite entro cui il rischio di inquinamento è solo potenziale (CSC) in ordine alle sostanze benzopirene</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indeno</w:t>
      </w:r>
      <w:proofErr w:type="spellEnd"/>
      <w:r>
        <w:rPr>
          <w:rFonts w:ascii="Times New Roman" w:hAnsi="Times New Roman" w:cs="Times New Roman"/>
          <w:bCs/>
          <w:sz w:val="24"/>
          <w:szCs w:val="24"/>
        </w:rPr>
        <w:t xml:space="preserve"> e idrocarburi totali.</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Sostanzialmente identica doglianza viene avanzata col quarto motivo, con riguardo al MTBE, aggiungendo inoltre che non sarebbe superata la concentrazione massima consentita per tale elemento, essendo il relativo limite di tollerabilità più alto di que</w:t>
      </w:r>
      <w:r>
        <w:rPr>
          <w:rFonts w:ascii="Times New Roman" w:hAnsi="Times New Roman" w:cs="Times New Roman"/>
          <w:bCs/>
          <w:sz w:val="24"/>
          <w:szCs w:val="24"/>
        </w:rPr>
        <w:t>llo ritenuto dalla conferenza.</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Il terzo motivo non è</w:t>
      </w:r>
      <w:r>
        <w:rPr>
          <w:rFonts w:ascii="Times New Roman" w:hAnsi="Times New Roman" w:cs="Times New Roman"/>
          <w:bCs/>
          <w:sz w:val="24"/>
          <w:szCs w:val="24"/>
        </w:rPr>
        <w:t xml:space="preserve"> fondato.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Come si è sopra ricordato l’art. 245 del D. </w:t>
      </w:r>
      <w:proofErr w:type="spellStart"/>
      <w:r w:rsidRPr="000025E4">
        <w:rPr>
          <w:rFonts w:ascii="Times New Roman" w:hAnsi="Times New Roman" w:cs="Times New Roman"/>
          <w:bCs/>
          <w:sz w:val="24"/>
          <w:szCs w:val="24"/>
        </w:rPr>
        <w:t>Lgs</w:t>
      </w:r>
      <w:proofErr w:type="spellEnd"/>
      <w:r w:rsidRPr="000025E4">
        <w:rPr>
          <w:rFonts w:ascii="Times New Roman" w:hAnsi="Times New Roman" w:cs="Times New Roman"/>
          <w:bCs/>
          <w:sz w:val="24"/>
          <w:szCs w:val="24"/>
        </w:rPr>
        <w:t>. n. 152/2006 impone al “proprietario o gestore dell’area che rilevi il superamento o il pericolo concreto e attuale del superamento della concentrazione soglia di contaminazione (CSC)…di attuare le misure di prevenz</w:t>
      </w:r>
      <w:r>
        <w:rPr>
          <w:rFonts w:ascii="Times New Roman" w:hAnsi="Times New Roman" w:cs="Times New Roman"/>
          <w:bCs/>
          <w:sz w:val="24"/>
          <w:szCs w:val="24"/>
        </w:rPr>
        <w:t>ione di cui all’articolo 242”.</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Non è quindi vero che l’obbligo della messa in sicurezza d’emergenza si attui s</w:t>
      </w:r>
      <w:r>
        <w:rPr>
          <w:rFonts w:ascii="Times New Roman" w:hAnsi="Times New Roman" w:cs="Times New Roman"/>
          <w:bCs/>
          <w:sz w:val="24"/>
          <w:szCs w:val="24"/>
        </w:rPr>
        <w:t>olo col superamento delle CSR.</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Inoltre, per quanto riguarda specificamente il MTBE rilevato nella falda acquifera sottostante il sito della ricorrente il Collegio condivide l’assunto dell’Istituto superiore di Sanità secondo cui, in base al principio di precauzione, andrebbe osservato l’Avviso sull’acqua potabile (</w:t>
      </w:r>
      <w:proofErr w:type="spellStart"/>
      <w:r w:rsidRPr="000025E4">
        <w:rPr>
          <w:rFonts w:ascii="Times New Roman" w:hAnsi="Times New Roman" w:cs="Times New Roman"/>
          <w:bCs/>
          <w:sz w:val="24"/>
          <w:szCs w:val="24"/>
        </w:rPr>
        <w:t>Advisory</w:t>
      </w:r>
      <w:proofErr w:type="spellEnd"/>
      <w:r w:rsidRPr="000025E4">
        <w:rPr>
          <w:rFonts w:ascii="Times New Roman" w:hAnsi="Times New Roman" w:cs="Times New Roman"/>
          <w:bCs/>
          <w:sz w:val="24"/>
          <w:szCs w:val="24"/>
        </w:rPr>
        <w:t xml:space="preserve"> </w:t>
      </w:r>
      <w:proofErr w:type="spellStart"/>
      <w:r w:rsidRPr="000025E4">
        <w:rPr>
          <w:rFonts w:ascii="Times New Roman" w:hAnsi="Times New Roman" w:cs="Times New Roman"/>
          <w:bCs/>
          <w:sz w:val="24"/>
          <w:szCs w:val="24"/>
        </w:rPr>
        <w:t>Drinking</w:t>
      </w:r>
      <w:proofErr w:type="spellEnd"/>
      <w:r w:rsidRPr="000025E4">
        <w:rPr>
          <w:rFonts w:ascii="Times New Roman" w:hAnsi="Times New Roman" w:cs="Times New Roman"/>
          <w:bCs/>
          <w:sz w:val="24"/>
          <w:szCs w:val="24"/>
        </w:rPr>
        <w:t xml:space="preserve"> Water) del 1997 secondo cui la concentrazione del MTBE andrebbe tenuta al di sotto dei 40 mg/l. considerato l’uso anche potabile che viene fatto in I</w:t>
      </w:r>
      <w:r>
        <w:rPr>
          <w:rFonts w:ascii="Times New Roman" w:hAnsi="Times New Roman" w:cs="Times New Roman"/>
          <w:bCs/>
          <w:sz w:val="24"/>
          <w:szCs w:val="24"/>
        </w:rPr>
        <w:t>talia delle acque sotterranee.</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 xml:space="preserve">Non è quindi eccessivamente restrittivo il limite imposto in </w:t>
      </w:r>
      <w:r>
        <w:rPr>
          <w:rFonts w:ascii="Times New Roman" w:hAnsi="Times New Roman" w:cs="Times New Roman"/>
          <w:bCs/>
          <w:sz w:val="24"/>
          <w:szCs w:val="24"/>
        </w:rPr>
        <w:t>sede di Conferenza di servizi.</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Non può quindi essere atteso i</w:t>
      </w:r>
      <w:r>
        <w:rPr>
          <w:rFonts w:ascii="Times New Roman" w:hAnsi="Times New Roman" w:cs="Times New Roman"/>
          <w:bCs/>
          <w:sz w:val="24"/>
          <w:szCs w:val="24"/>
        </w:rPr>
        <w:t>l quarto motivo.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Nemmeno il quinto merita miglior sorte, in quanto si sostanzia in una doglianza di puro merito, che vuole ribadire la scarsa permeabilità dei terreni e l’inesistenza della falda acquifera al di sotto di essi. Peraltro la presenza di essa, che sfocia in mare, è stata ammessa in passato dalla stessa ricorrente, oltre che dall’autorità, che intende impedire la diffusione di in</w:t>
      </w:r>
      <w:r>
        <w:rPr>
          <w:rFonts w:ascii="Times New Roman" w:hAnsi="Times New Roman" w:cs="Times New Roman"/>
          <w:bCs/>
          <w:sz w:val="24"/>
          <w:szCs w:val="24"/>
        </w:rPr>
        <w:t>quinanti nell’ambiente marino.</w:t>
      </w:r>
    </w:p>
    <w:p w:rsid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In sostanza il ricorso è, nel suo complesso, info</w:t>
      </w:r>
      <w:r>
        <w:rPr>
          <w:rFonts w:ascii="Times New Roman" w:hAnsi="Times New Roman" w:cs="Times New Roman"/>
          <w:bCs/>
          <w:sz w:val="24"/>
          <w:szCs w:val="24"/>
        </w:rPr>
        <w:t>ndato, e dev’essere rigettato.</w:t>
      </w:r>
    </w:p>
    <w:p w:rsidR="000025E4" w:rsidRPr="000025E4" w:rsidRDefault="000025E4" w:rsidP="000025E4">
      <w:pPr>
        <w:widowControl w:val="0"/>
        <w:spacing w:after="0" w:line="240" w:lineRule="auto"/>
        <w:jc w:val="both"/>
        <w:rPr>
          <w:rFonts w:ascii="Times New Roman" w:hAnsi="Times New Roman" w:cs="Times New Roman"/>
          <w:bCs/>
          <w:sz w:val="24"/>
          <w:szCs w:val="24"/>
        </w:rPr>
      </w:pPr>
      <w:r w:rsidRPr="000025E4">
        <w:rPr>
          <w:rFonts w:ascii="Times New Roman" w:hAnsi="Times New Roman" w:cs="Times New Roman"/>
          <w:bCs/>
          <w:sz w:val="24"/>
          <w:szCs w:val="24"/>
        </w:rPr>
        <w:t>Le spese seguono la soccombenza e sono liquidate come da dispositivo.</w:t>
      </w:r>
    </w:p>
    <w:p w:rsidR="00FE65CA" w:rsidRPr="00256033" w:rsidRDefault="00FE65CA" w:rsidP="000025E4">
      <w:pPr>
        <w:widowControl w:val="0"/>
        <w:spacing w:after="0" w:line="240" w:lineRule="auto"/>
        <w:jc w:val="both"/>
        <w:rPr>
          <w:rFonts w:ascii="Times New Roman" w:hAnsi="Times New Roman" w:cs="Times New Roman"/>
          <w:bCs/>
          <w:sz w:val="24"/>
          <w:szCs w:val="24"/>
        </w:rPr>
      </w:pPr>
      <w:bookmarkStart w:id="0" w:name="_GoBack"/>
      <w:bookmarkEnd w:id="0"/>
    </w:p>
    <w:sectPr w:rsidR="00FE65CA" w:rsidRPr="00256033" w:rsidSect="001C63E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708"/>
  <w:hyphenationZone w:val="283"/>
  <w:characterSpacingControl w:val="doNotCompress"/>
  <w:compat>
    <w:compatSetting w:name="compatibilityMode" w:uri="http://schemas.microsoft.com/office/word" w:val="12"/>
  </w:compat>
  <w:rsids>
    <w:rsidRoot w:val="000025E4"/>
    <w:rsid w:val="000025E4"/>
    <w:rsid w:val="00120DBA"/>
    <w:rsid w:val="001C63E6"/>
    <w:rsid w:val="00256033"/>
    <w:rsid w:val="0066655C"/>
    <w:rsid w:val="00B3005E"/>
    <w:rsid w:val="00BF2093"/>
    <w:rsid w:val="00FE65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C63E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025E4"/>
    <w:rPr>
      <w:b w:val="0"/>
      <w:bCs w:val="0"/>
      <w:i/>
      <w:iCs/>
      <w:strike w:val="0"/>
      <w:dstrike w:val="0"/>
      <w:u w:val="none"/>
      <w:effect w:val="none"/>
    </w:rPr>
  </w:style>
  <w:style w:type="character" w:styleId="Enfasigrassetto">
    <w:name w:val="Strong"/>
    <w:basedOn w:val="Carpredefinitoparagrafo"/>
    <w:uiPriority w:val="22"/>
    <w:qFormat/>
    <w:rsid w:val="000025E4"/>
    <w:rPr>
      <w:b/>
      <w:bCs/>
    </w:rPr>
  </w:style>
  <w:style w:type="paragraph" w:styleId="NormaleWeb">
    <w:name w:val="Normal (Web)"/>
    <w:basedOn w:val="Normale"/>
    <w:uiPriority w:val="99"/>
    <w:semiHidden/>
    <w:unhideWhenUsed/>
    <w:rsid w:val="000025E4"/>
    <w:pPr>
      <w:spacing w:before="48" w:after="72"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025E4"/>
    <w:rPr>
      <w:b w:val="0"/>
      <w:bCs w:val="0"/>
      <w:i/>
      <w:iCs/>
      <w:strike w:val="0"/>
      <w:dstrike w:val="0"/>
      <w:u w:val="none"/>
      <w:effect w:val="none"/>
    </w:rPr>
  </w:style>
  <w:style w:type="character" w:styleId="Enfasigrassetto">
    <w:name w:val="Strong"/>
    <w:basedOn w:val="Carpredefinitoparagrafo"/>
    <w:uiPriority w:val="22"/>
    <w:qFormat/>
    <w:rsid w:val="000025E4"/>
    <w:rPr>
      <w:b/>
      <w:bCs/>
    </w:rPr>
  </w:style>
  <w:style w:type="paragraph" w:styleId="NormaleWeb">
    <w:name w:val="Normal (Web)"/>
    <w:basedOn w:val="Normale"/>
    <w:uiPriority w:val="99"/>
    <w:semiHidden/>
    <w:unhideWhenUsed/>
    <w:rsid w:val="000025E4"/>
    <w:pPr>
      <w:spacing w:before="48" w:after="72"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87701">
      <w:bodyDiv w:val="1"/>
      <w:marLeft w:val="0"/>
      <w:marRight w:val="0"/>
      <w:marTop w:val="0"/>
      <w:marBottom w:val="0"/>
      <w:divBdr>
        <w:top w:val="none" w:sz="0" w:space="0" w:color="auto"/>
        <w:left w:val="none" w:sz="0" w:space="0" w:color="auto"/>
        <w:bottom w:val="none" w:sz="0" w:space="0" w:color="auto"/>
        <w:right w:val="none" w:sz="0" w:space="0" w:color="auto"/>
      </w:divBdr>
      <w:divsChild>
        <w:div w:id="843862058">
          <w:marLeft w:val="0"/>
          <w:marRight w:val="0"/>
          <w:marTop w:val="0"/>
          <w:marBottom w:val="0"/>
          <w:divBdr>
            <w:top w:val="none" w:sz="0" w:space="0" w:color="auto"/>
            <w:left w:val="none" w:sz="0" w:space="0" w:color="auto"/>
            <w:bottom w:val="none" w:sz="0" w:space="0" w:color="auto"/>
            <w:right w:val="none" w:sz="0" w:space="0" w:color="auto"/>
          </w:divBdr>
          <w:divsChild>
            <w:div w:id="111704878">
              <w:marLeft w:val="0"/>
              <w:marRight w:val="0"/>
              <w:marTop w:val="0"/>
              <w:marBottom w:val="0"/>
              <w:divBdr>
                <w:top w:val="none" w:sz="0" w:space="0" w:color="auto"/>
                <w:left w:val="none" w:sz="0" w:space="0" w:color="auto"/>
                <w:bottom w:val="none" w:sz="0" w:space="0" w:color="auto"/>
                <w:right w:val="none" w:sz="0" w:space="0" w:color="auto"/>
              </w:divBdr>
              <w:divsChild>
                <w:div w:id="154225369">
                  <w:marLeft w:val="0"/>
                  <w:marRight w:val="0"/>
                  <w:marTop w:val="0"/>
                  <w:marBottom w:val="0"/>
                  <w:divBdr>
                    <w:top w:val="none" w:sz="0" w:space="0" w:color="auto"/>
                    <w:left w:val="none" w:sz="0" w:space="0" w:color="auto"/>
                    <w:bottom w:val="none" w:sz="0" w:space="0" w:color="auto"/>
                    <w:right w:val="none" w:sz="0" w:space="0" w:color="auto"/>
                  </w:divBdr>
                  <w:divsChild>
                    <w:div w:id="38555153">
                      <w:marLeft w:val="0"/>
                      <w:marRight w:val="0"/>
                      <w:marTop w:val="0"/>
                      <w:marBottom w:val="0"/>
                      <w:divBdr>
                        <w:top w:val="none" w:sz="0" w:space="0" w:color="auto"/>
                        <w:left w:val="none" w:sz="0" w:space="0" w:color="auto"/>
                        <w:bottom w:val="none" w:sz="0" w:space="0" w:color="auto"/>
                        <w:right w:val="none" w:sz="0" w:space="0" w:color="auto"/>
                      </w:divBdr>
                      <w:divsChild>
                        <w:div w:id="509488955">
                          <w:marLeft w:val="0"/>
                          <w:marRight w:val="0"/>
                          <w:marTop w:val="0"/>
                          <w:marBottom w:val="0"/>
                          <w:divBdr>
                            <w:top w:val="none" w:sz="0" w:space="0" w:color="auto"/>
                            <w:left w:val="none" w:sz="0" w:space="0" w:color="auto"/>
                            <w:bottom w:val="none" w:sz="0" w:space="0" w:color="auto"/>
                            <w:right w:val="none" w:sz="0" w:space="0" w:color="auto"/>
                          </w:divBdr>
                          <w:divsChild>
                            <w:div w:id="1795636155">
                              <w:marLeft w:val="0"/>
                              <w:marRight w:val="0"/>
                              <w:marTop w:val="0"/>
                              <w:marBottom w:val="0"/>
                              <w:divBdr>
                                <w:top w:val="none" w:sz="0" w:space="0" w:color="auto"/>
                                <w:left w:val="none" w:sz="0" w:space="0" w:color="auto"/>
                                <w:bottom w:val="none" w:sz="0" w:space="0" w:color="auto"/>
                                <w:right w:val="none" w:sz="0" w:space="0" w:color="auto"/>
                              </w:divBdr>
                              <w:divsChild>
                                <w:div w:id="1194534410">
                                  <w:marLeft w:val="0"/>
                                  <w:marRight w:val="0"/>
                                  <w:marTop w:val="0"/>
                                  <w:marBottom w:val="225"/>
                                  <w:divBdr>
                                    <w:top w:val="none" w:sz="0" w:space="0" w:color="auto"/>
                                    <w:left w:val="none" w:sz="0" w:space="0" w:color="auto"/>
                                    <w:bottom w:val="none" w:sz="0" w:space="0" w:color="auto"/>
                                    <w:right w:val="none" w:sz="0" w:space="0" w:color="auto"/>
                                  </w:divBdr>
                                  <w:divsChild>
                                    <w:div w:id="1137257036">
                                      <w:marLeft w:val="0"/>
                                      <w:marRight w:val="0"/>
                                      <w:marTop w:val="0"/>
                                      <w:marBottom w:val="0"/>
                                      <w:divBdr>
                                        <w:top w:val="none" w:sz="0" w:space="0" w:color="auto"/>
                                        <w:left w:val="none" w:sz="0" w:space="0" w:color="auto"/>
                                        <w:bottom w:val="none" w:sz="0" w:space="0" w:color="auto"/>
                                        <w:right w:val="none" w:sz="0" w:space="0" w:color="auto"/>
                                      </w:divBdr>
                                      <w:divsChild>
                                        <w:div w:id="2141268409">
                                          <w:marLeft w:val="0"/>
                                          <w:marRight w:val="0"/>
                                          <w:marTop w:val="0"/>
                                          <w:marBottom w:val="0"/>
                                          <w:divBdr>
                                            <w:top w:val="none" w:sz="0" w:space="0" w:color="auto"/>
                                            <w:left w:val="none" w:sz="0" w:space="0" w:color="auto"/>
                                            <w:bottom w:val="none" w:sz="0" w:space="0" w:color="auto"/>
                                            <w:right w:val="none" w:sz="0" w:space="0" w:color="auto"/>
                                          </w:divBdr>
                                          <w:divsChild>
                                            <w:div w:id="1088423466">
                                              <w:marLeft w:val="0"/>
                                              <w:marRight w:val="0"/>
                                              <w:marTop w:val="0"/>
                                              <w:marBottom w:val="0"/>
                                              <w:divBdr>
                                                <w:top w:val="none" w:sz="0" w:space="0" w:color="auto"/>
                                                <w:left w:val="none" w:sz="0" w:space="0" w:color="auto"/>
                                                <w:bottom w:val="none" w:sz="0" w:space="0" w:color="auto"/>
                                                <w:right w:val="none" w:sz="0" w:space="0" w:color="auto"/>
                                              </w:divBdr>
                                              <w:divsChild>
                                                <w:div w:id="207018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0003589">
      <w:bodyDiv w:val="1"/>
      <w:marLeft w:val="0"/>
      <w:marRight w:val="0"/>
      <w:marTop w:val="0"/>
      <w:marBottom w:val="0"/>
      <w:divBdr>
        <w:top w:val="none" w:sz="0" w:space="0" w:color="auto"/>
        <w:left w:val="none" w:sz="0" w:space="0" w:color="auto"/>
        <w:bottom w:val="none" w:sz="0" w:space="0" w:color="auto"/>
        <w:right w:val="none" w:sz="0" w:space="0" w:color="auto"/>
      </w:divBdr>
      <w:divsChild>
        <w:div w:id="1227454720">
          <w:marLeft w:val="0"/>
          <w:marRight w:val="0"/>
          <w:marTop w:val="0"/>
          <w:marBottom w:val="0"/>
          <w:divBdr>
            <w:top w:val="none" w:sz="0" w:space="0" w:color="auto"/>
            <w:left w:val="none" w:sz="0" w:space="0" w:color="auto"/>
            <w:bottom w:val="none" w:sz="0" w:space="0" w:color="auto"/>
            <w:right w:val="none" w:sz="0" w:space="0" w:color="auto"/>
          </w:divBdr>
          <w:divsChild>
            <w:div w:id="366757625">
              <w:marLeft w:val="0"/>
              <w:marRight w:val="0"/>
              <w:marTop w:val="0"/>
              <w:marBottom w:val="0"/>
              <w:divBdr>
                <w:top w:val="none" w:sz="0" w:space="0" w:color="auto"/>
                <w:left w:val="none" w:sz="0" w:space="0" w:color="auto"/>
                <w:bottom w:val="none" w:sz="0" w:space="0" w:color="auto"/>
                <w:right w:val="none" w:sz="0" w:space="0" w:color="auto"/>
              </w:divBdr>
              <w:divsChild>
                <w:div w:id="936522666">
                  <w:marLeft w:val="0"/>
                  <w:marRight w:val="0"/>
                  <w:marTop w:val="0"/>
                  <w:marBottom w:val="0"/>
                  <w:divBdr>
                    <w:top w:val="none" w:sz="0" w:space="0" w:color="auto"/>
                    <w:left w:val="none" w:sz="0" w:space="0" w:color="auto"/>
                    <w:bottom w:val="none" w:sz="0" w:space="0" w:color="auto"/>
                    <w:right w:val="none" w:sz="0" w:space="0" w:color="auto"/>
                  </w:divBdr>
                  <w:divsChild>
                    <w:div w:id="1195268480">
                      <w:marLeft w:val="0"/>
                      <w:marRight w:val="0"/>
                      <w:marTop w:val="0"/>
                      <w:marBottom w:val="0"/>
                      <w:divBdr>
                        <w:top w:val="none" w:sz="0" w:space="0" w:color="auto"/>
                        <w:left w:val="none" w:sz="0" w:space="0" w:color="auto"/>
                        <w:bottom w:val="none" w:sz="0" w:space="0" w:color="auto"/>
                        <w:right w:val="none" w:sz="0" w:space="0" w:color="auto"/>
                      </w:divBdr>
                      <w:divsChild>
                        <w:div w:id="386612066">
                          <w:marLeft w:val="0"/>
                          <w:marRight w:val="0"/>
                          <w:marTop w:val="0"/>
                          <w:marBottom w:val="0"/>
                          <w:divBdr>
                            <w:top w:val="none" w:sz="0" w:space="0" w:color="auto"/>
                            <w:left w:val="none" w:sz="0" w:space="0" w:color="auto"/>
                            <w:bottom w:val="none" w:sz="0" w:space="0" w:color="auto"/>
                            <w:right w:val="none" w:sz="0" w:space="0" w:color="auto"/>
                          </w:divBdr>
                          <w:divsChild>
                            <w:div w:id="1467813789">
                              <w:marLeft w:val="0"/>
                              <w:marRight w:val="0"/>
                              <w:marTop w:val="0"/>
                              <w:marBottom w:val="0"/>
                              <w:divBdr>
                                <w:top w:val="none" w:sz="0" w:space="0" w:color="auto"/>
                                <w:left w:val="none" w:sz="0" w:space="0" w:color="auto"/>
                                <w:bottom w:val="none" w:sz="0" w:space="0" w:color="auto"/>
                                <w:right w:val="none" w:sz="0" w:space="0" w:color="auto"/>
                              </w:divBdr>
                              <w:divsChild>
                                <w:div w:id="1359968910">
                                  <w:marLeft w:val="0"/>
                                  <w:marRight w:val="0"/>
                                  <w:marTop w:val="0"/>
                                  <w:marBottom w:val="225"/>
                                  <w:divBdr>
                                    <w:top w:val="none" w:sz="0" w:space="0" w:color="auto"/>
                                    <w:left w:val="none" w:sz="0" w:space="0" w:color="auto"/>
                                    <w:bottom w:val="none" w:sz="0" w:space="0" w:color="auto"/>
                                    <w:right w:val="none" w:sz="0" w:space="0" w:color="auto"/>
                                  </w:divBdr>
                                  <w:divsChild>
                                    <w:div w:id="162744404">
                                      <w:marLeft w:val="0"/>
                                      <w:marRight w:val="0"/>
                                      <w:marTop w:val="0"/>
                                      <w:marBottom w:val="0"/>
                                      <w:divBdr>
                                        <w:top w:val="none" w:sz="0" w:space="0" w:color="auto"/>
                                        <w:left w:val="none" w:sz="0" w:space="0" w:color="auto"/>
                                        <w:bottom w:val="none" w:sz="0" w:space="0" w:color="auto"/>
                                        <w:right w:val="none" w:sz="0" w:space="0" w:color="auto"/>
                                      </w:divBdr>
                                      <w:divsChild>
                                        <w:div w:id="194660894">
                                          <w:marLeft w:val="0"/>
                                          <w:marRight w:val="0"/>
                                          <w:marTop w:val="0"/>
                                          <w:marBottom w:val="0"/>
                                          <w:divBdr>
                                            <w:top w:val="none" w:sz="0" w:space="0" w:color="auto"/>
                                            <w:left w:val="none" w:sz="0" w:space="0" w:color="auto"/>
                                            <w:bottom w:val="none" w:sz="0" w:space="0" w:color="auto"/>
                                            <w:right w:val="none" w:sz="0" w:space="0" w:color="auto"/>
                                          </w:divBdr>
                                          <w:divsChild>
                                            <w:div w:id="725759767">
                                              <w:marLeft w:val="0"/>
                                              <w:marRight w:val="0"/>
                                              <w:marTop w:val="0"/>
                                              <w:marBottom w:val="0"/>
                                              <w:divBdr>
                                                <w:top w:val="none" w:sz="0" w:space="0" w:color="auto"/>
                                                <w:left w:val="none" w:sz="0" w:space="0" w:color="auto"/>
                                                <w:bottom w:val="none" w:sz="0" w:space="0" w:color="auto"/>
                                                <w:right w:val="none" w:sz="0" w:space="0" w:color="auto"/>
                                              </w:divBdr>
                                              <w:divsChild>
                                                <w:div w:id="16169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7027364">
      <w:bodyDiv w:val="1"/>
      <w:marLeft w:val="0"/>
      <w:marRight w:val="0"/>
      <w:marTop w:val="0"/>
      <w:marBottom w:val="0"/>
      <w:divBdr>
        <w:top w:val="none" w:sz="0" w:space="0" w:color="auto"/>
        <w:left w:val="none" w:sz="0" w:space="0" w:color="auto"/>
        <w:bottom w:val="none" w:sz="0" w:space="0" w:color="auto"/>
        <w:right w:val="none" w:sz="0" w:space="0" w:color="auto"/>
      </w:divBdr>
      <w:divsChild>
        <w:div w:id="384569267">
          <w:marLeft w:val="0"/>
          <w:marRight w:val="0"/>
          <w:marTop w:val="0"/>
          <w:marBottom w:val="0"/>
          <w:divBdr>
            <w:top w:val="none" w:sz="0" w:space="0" w:color="auto"/>
            <w:left w:val="none" w:sz="0" w:space="0" w:color="auto"/>
            <w:bottom w:val="none" w:sz="0" w:space="0" w:color="auto"/>
            <w:right w:val="none" w:sz="0" w:space="0" w:color="auto"/>
          </w:divBdr>
          <w:divsChild>
            <w:div w:id="1464540776">
              <w:marLeft w:val="0"/>
              <w:marRight w:val="0"/>
              <w:marTop w:val="0"/>
              <w:marBottom w:val="0"/>
              <w:divBdr>
                <w:top w:val="none" w:sz="0" w:space="0" w:color="auto"/>
                <w:left w:val="none" w:sz="0" w:space="0" w:color="auto"/>
                <w:bottom w:val="none" w:sz="0" w:space="0" w:color="auto"/>
                <w:right w:val="none" w:sz="0" w:space="0" w:color="auto"/>
              </w:divBdr>
              <w:divsChild>
                <w:div w:id="1843619062">
                  <w:marLeft w:val="0"/>
                  <w:marRight w:val="0"/>
                  <w:marTop w:val="0"/>
                  <w:marBottom w:val="0"/>
                  <w:divBdr>
                    <w:top w:val="none" w:sz="0" w:space="0" w:color="auto"/>
                    <w:left w:val="none" w:sz="0" w:space="0" w:color="auto"/>
                    <w:bottom w:val="none" w:sz="0" w:space="0" w:color="auto"/>
                    <w:right w:val="none" w:sz="0" w:space="0" w:color="auto"/>
                  </w:divBdr>
                  <w:divsChild>
                    <w:div w:id="2073771649">
                      <w:marLeft w:val="0"/>
                      <w:marRight w:val="0"/>
                      <w:marTop w:val="0"/>
                      <w:marBottom w:val="0"/>
                      <w:divBdr>
                        <w:top w:val="none" w:sz="0" w:space="0" w:color="auto"/>
                        <w:left w:val="none" w:sz="0" w:space="0" w:color="auto"/>
                        <w:bottom w:val="none" w:sz="0" w:space="0" w:color="auto"/>
                        <w:right w:val="none" w:sz="0" w:space="0" w:color="auto"/>
                      </w:divBdr>
                      <w:divsChild>
                        <w:div w:id="660280041">
                          <w:marLeft w:val="0"/>
                          <w:marRight w:val="0"/>
                          <w:marTop w:val="0"/>
                          <w:marBottom w:val="0"/>
                          <w:divBdr>
                            <w:top w:val="none" w:sz="0" w:space="0" w:color="auto"/>
                            <w:left w:val="none" w:sz="0" w:space="0" w:color="auto"/>
                            <w:bottom w:val="none" w:sz="0" w:space="0" w:color="auto"/>
                            <w:right w:val="none" w:sz="0" w:space="0" w:color="auto"/>
                          </w:divBdr>
                          <w:divsChild>
                            <w:div w:id="1907494774">
                              <w:marLeft w:val="0"/>
                              <w:marRight w:val="0"/>
                              <w:marTop w:val="0"/>
                              <w:marBottom w:val="0"/>
                              <w:divBdr>
                                <w:top w:val="none" w:sz="0" w:space="0" w:color="auto"/>
                                <w:left w:val="none" w:sz="0" w:space="0" w:color="auto"/>
                                <w:bottom w:val="none" w:sz="0" w:space="0" w:color="auto"/>
                                <w:right w:val="none" w:sz="0" w:space="0" w:color="auto"/>
                              </w:divBdr>
                              <w:divsChild>
                                <w:div w:id="1103039235">
                                  <w:marLeft w:val="0"/>
                                  <w:marRight w:val="0"/>
                                  <w:marTop w:val="0"/>
                                  <w:marBottom w:val="225"/>
                                  <w:divBdr>
                                    <w:top w:val="none" w:sz="0" w:space="0" w:color="auto"/>
                                    <w:left w:val="none" w:sz="0" w:space="0" w:color="auto"/>
                                    <w:bottom w:val="none" w:sz="0" w:space="0" w:color="auto"/>
                                    <w:right w:val="none" w:sz="0" w:space="0" w:color="auto"/>
                                  </w:divBdr>
                                  <w:divsChild>
                                    <w:div w:id="72902315">
                                      <w:marLeft w:val="0"/>
                                      <w:marRight w:val="0"/>
                                      <w:marTop w:val="0"/>
                                      <w:marBottom w:val="0"/>
                                      <w:divBdr>
                                        <w:top w:val="none" w:sz="0" w:space="0" w:color="auto"/>
                                        <w:left w:val="none" w:sz="0" w:space="0" w:color="auto"/>
                                        <w:bottom w:val="none" w:sz="0" w:space="0" w:color="auto"/>
                                        <w:right w:val="none" w:sz="0" w:space="0" w:color="auto"/>
                                      </w:divBdr>
                                      <w:divsChild>
                                        <w:div w:id="1129588689">
                                          <w:marLeft w:val="0"/>
                                          <w:marRight w:val="0"/>
                                          <w:marTop w:val="0"/>
                                          <w:marBottom w:val="0"/>
                                          <w:divBdr>
                                            <w:top w:val="none" w:sz="0" w:space="0" w:color="auto"/>
                                            <w:left w:val="none" w:sz="0" w:space="0" w:color="auto"/>
                                            <w:bottom w:val="none" w:sz="0" w:space="0" w:color="auto"/>
                                            <w:right w:val="none" w:sz="0" w:space="0" w:color="auto"/>
                                          </w:divBdr>
                                          <w:divsChild>
                                            <w:div w:id="1163424568">
                                              <w:marLeft w:val="0"/>
                                              <w:marRight w:val="0"/>
                                              <w:marTop w:val="0"/>
                                              <w:marBottom w:val="0"/>
                                              <w:divBdr>
                                                <w:top w:val="none" w:sz="0" w:space="0" w:color="auto"/>
                                                <w:left w:val="none" w:sz="0" w:space="0" w:color="auto"/>
                                                <w:bottom w:val="none" w:sz="0" w:space="0" w:color="auto"/>
                                                <w:right w:val="none" w:sz="0" w:space="0" w:color="auto"/>
                                              </w:divBdr>
                                              <w:divsChild>
                                                <w:div w:id="59509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2456</Words>
  <Characters>14003</Characters>
  <Application>Microsoft Office Word</Application>
  <DocSecurity>0</DocSecurity>
  <Lines>116</Lines>
  <Paragraphs>32</Paragraphs>
  <ScaleCrop>false</ScaleCrop>
  <Company>TuttoAmbiente srl</Company>
  <LinksUpToDate>false</LinksUpToDate>
  <CharactersWithSpaces>16427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 Zorzino</dc:creator>
  <cp:lastModifiedBy>Chiara Zorzino</cp:lastModifiedBy>
  <cp:revision>3</cp:revision>
  <dcterms:created xsi:type="dcterms:W3CDTF">2013-07-02T13:08:00Z</dcterms:created>
  <dcterms:modified xsi:type="dcterms:W3CDTF">2013-07-03T09:44:00Z</dcterms:modified>
</cp:coreProperties>
</file>