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0A" w:rsidRPr="0064748D" w:rsidRDefault="00683B0A" w:rsidP="00683B0A">
      <w:pPr>
        <w:rPr>
          <w:rFonts w:ascii="Times New Roman" w:hAnsi="Times New Roman" w:cs="Times New Roman"/>
          <w:b/>
          <w:bCs/>
          <w:sz w:val="24"/>
          <w:szCs w:val="24"/>
        </w:rPr>
      </w:pPr>
      <w:r w:rsidRPr="0064748D">
        <w:rPr>
          <w:rFonts w:ascii="Times New Roman" w:hAnsi="Times New Roman" w:cs="Times New Roman"/>
          <w:b/>
          <w:bCs/>
          <w:sz w:val="24"/>
          <w:szCs w:val="24"/>
        </w:rPr>
        <w:t xml:space="preserve">TAR Puglia, Lecce Sez. III n. 301 del 13/02/13 - </w:t>
      </w:r>
      <w:proofErr w:type="spellStart"/>
      <w:r w:rsidRPr="0064748D">
        <w:rPr>
          <w:rFonts w:ascii="Times New Roman" w:hAnsi="Times New Roman" w:cs="Times New Roman"/>
          <w:b/>
          <w:bCs/>
          <w:sz w:val="24"/>
          <w:szCs w:val="24"/>
        </w:rPr>
        <w:t>Pres</w:t>
      </w:r>
      <w:proofErr w:type="spellEnd"/>
      <w:r w:rsidRPr="0064748D">
        <w:rPr>
          <w:rFonts w:ascii="Times New Roman" w:hAnsi="Times New Roman" w:cs="Times New Roman"/>
          <w:b/>
          <w:bCs/>
          <w:sz w:val="24"/>
          <w:szCs w:val="24"/>
        </w:rPr>
        <w:t xml:space="preserve">. </w:t>
      </w:r>
      <w:proofErr w:type="spellStart"/>
      <w:r w:rsidR="0064748D" w:rsidRPr="0064748D">
        <w:rPr>
          <w:rFonts w:ascii="Times New Roman" w:hAnsi="Times New Roman" w:cs="Times New Roman"/>
          <w:b/>
          <w:bCs/>
          <w:sz w:val="24"/>
          <w:szCs w:val="24"/>
        </w:rPr>
        <w:t>Trizzino</w:t>
      </w:r>
      <w:proofErr w:type="spellEnd"/>
      <w:r w:rsidR="0064748D" w:rsidRPr="0064748D">
        <w:rPr>
          <w:rFonts w:ascii="Times New Roman" w:hAnsi="Times New Roman" w:cs="Times New Roman"/>
          <w:b/>
          <w:bCs/>
          <w:sz w:val="24"/>
          <w:szCs w:val="24"/>
        </w:rPr>
        <w:t xml:space="preserve"> - Est. Caprini - Ric. F.</w:t>
      </w:r>
      <w:r w:rsidRPr="0064748D">
        <w:rPr>
          <w:rFonts w:ascii="Times New Roman" w:hAnsi="Times New Roman" w:cs="Times New Roman"/>
          <w:b/>
          <w:bCs/>
          <w:sz w:val="24"/>
          <w:szCs w:val="24"/>
        </w:rPr>
        <w:t xml:space="preserve">C. c. Comune di </w:t>
      </w:r>
      <w:r w:rsidR="0064748D" w:rsidRPr="0064748D">
        <w:rPr>
          <w:rFonts w:ascii="Times New Roman" w:hAnsi="Times New Roman" w:cs="Times New Roman"/>
          <w:b/>
          <w:bCs/>
          <w:sz w:val="24"/>
          <w:szCs w:val="24"/>
        </w:rPr>
        <w:t>L</w:t>
      </w:r>
      <w:r w:rsidRPr="0064748D">
        <w:rPr>
          <w:rFonts w:ascii="Times New Roman" w:hAnsi="Times New Roman" w:cs="Times New Roman"/>
          <w:b/>
          <w:bCs/>
          <w:sz w:val="24"/>
          <w:szCs w:val="24"/>
        </w:rPr>
        <w:t>eporano</w:t>
      </w:r>
    </w:p>
    <w:p w:rsidR="0064748D" w:rsidRDefault="0064748D" w:rsidP="00683B0A">
      <w:pPr>
        <w:rPr>
          <w:rFonts w:ascii="Times New Roman" w:hAnsi="Times New Roman" w:cs="Times New Roman"/>
          <w:bCs/>
          <w:sz w:val="24"/>
          <w:szCs w:val="24"/>
        </w:rPr>
      </w:pPr>
      <w:r w:rsidRPr="0064748D">
        <w:rPr>
          <w:rFonts w:ascii="Times New Roman" w:hAnsi="Times New Roman" w:cs="Times New Roman"/>
          <w:b/>
          <w:bCs/>
          <w:sz w:val="24"/>
          <w:szCs w:val="24"/>
        </w:rPr>
        <w:t xml:space="preserve">Bonifiche - </w:t>
      </w:r>
      <w:r w:rsidR="00CB67AC">
        <w:rPr>
          <w:rFonts w:ascii="Times New Roman" w:hAnsi="Times New Roman" w:cs="Times New Roman"/>
          <w:bCs/>
          <w:sz w:val="24"/>
          <w:szCs w:val="24"/>
        </w:rPr>
        <w:t>Responsabilità in caso di inquinamento diffuso</w:t>
      </w:r>
    </w:p>
    <w:p w:rsidR="00CB67AC" w:rsidRPr="00CB67AC" w:rsidRDefault="00CB67AC" w:rsidP="00683B0A">
      <w:pPr>
        <w:rPr>
          <w:rFonts w:ascii="Times New Roman" w:hAnsi="Times New Roman" w:cs="Times New Roman"/>
          <w:bCs/>
          <w:sz w:val="24"/>
          <w:szCs w:val="24"/>
        </w:rPr>
      </w:pPr>
      <w:r>
        <w:rPr>
          <w:rFonts w:ascii="Times New Roman" w:hAnsi="Times New Roman" w:cs="Times New Roman"/>
          <w:bCs/>
          <w:i/>
          <w:sz w:val="24"/>
          <w:szCs w:val="24"/>
        </w:rPr>
        <w:t>Nei casi di inquinamento diffuso, ossia in quei casi in cui non sia possibile o sia oltremodo difficoltoso accertare la responsabilità dell’autore dell’inquinamento, la bonifica resta a carico della P.A. e i relativi vantaggi dei privati proprietari o detentori dei fondi bonificati, in termini di aumento di valore del fondo, potranno costituire giusta causa di recupero delle corrispondenti somme, nei limiti ordinari delle azioni di arricchimento.</w:t>
      </w:r>
    </w:p>
    <w:p w:rsidR="00683B0A" w:rsidRPr="0064748D" w:rsidRDefault="00683B0A" w:rsidP="00683B0A">
      <w:pPr>
        <w:rPr>
          <w:rFonts w:ascii="Times New Roman" w:hAnsi="Times New Roman" w:cs="Times New Roman"/>
          <w:sz w:val="24"/>
          <w:szCs w:val="24"/>
        </w:rPr>
      </w:pPr>
    </w:p>
    <w:p w:rsidR="00683B0A" w:rsidRPr="0064748D" w:rsidRDefault="00683B0A" w:rsidP="00683B0A">
      <w:pPr>
        <w:rPr>
          <w:rFonts w:ascii="Times New Roman" w:hAnsi="Times New Roman" w:cs="Times New Roman"/>
          <w:sz w:val="24"/>
          <w:szCs w:val="24"/>
        </w:rPr>
      </w:pPr>
      <w:r w:rsidRPr="0064748D">
        <w:rPr>
          <w:rFonts w:ascii="Times New Roman" w:hAnsi="Times New Roman" w:cs="Times New Roman"/>
          <w:sz w:val="24"/>
          <w:szCs w:val="24"/>
        </w:rPr>
        <w:t>FATTO e DIRITTO</w:t>
      </w:r>
      <w:r w:rsidR="00CB67AC">
        <w:rPr>
          <w:rFonts w:ascii="Times New Roman" w:hAnsi="Times New Roman" w:cs="Times New Roman"/>
          <w:sz w:val="24"/>
          <w:szCs w:val="24"/>
        </w:rPr>
        <w:br/>
      </w:r>
      <w:r w:rsidRPr="0064748D">
        <w:rPr>
          <w:rFonts w:ascii="Times New Roman" w:hAnsi="Times New Roman" w:cs="Times New Roman"/>
          <w:sz w:val="24"/>
          <w:szCs w:val="24"/>
        </w:rPr>
        <w:t>I. I ricorrenti impugnano l’ordinanza comunale che gli ingiunge di provvedere alla bonifica del terreno di proprietà mediante smaltimento dei rifiuti urbani e speciali ivi abbandonati. A tale stato di cose ha concorso, per mancato accordo delle parti sull’entità dell’indennizzo, l’inadempimento dell’obbligo di ricostruzione del muro di recinzione assunto dal Comune che, nella specie, si era impegnato al ripristino dello “status quo ante” all’occupazione d’urgenza decretata per eseguire lavori di viabilità.</w:t>
      </w:r>
      <w:r w:rsidR="00CB67AC">
        <w:rPr>
          <w:rFonts w:ascii="Times New Roman" w:hAnsi="Times New Roman" w:cs="Times New Roman"/>
          <w:sz w:val="24"/>
          <w:szCs w:val="24"/>
        </w:rPr>
        <w:br/>
      </w:r>
      <w:r w:rsidRPr="0064748D">
        <w:rPr>
          <w:rFonts w:ascii="Times New Roman" w:hAnsi="Times New Roman" w:cs="Times New Roman"/>
          <w:sz w:val="24"/>
          <w:szCs w:val="24"/>
        </w:rPr>
        <w:t>II. A sostegno del gravame la parte deduce:</w:t>
      </w:r>
      <w:r w:rsidR="00CB67AC">
        <w:rPr>
          <w:rFonts w:ascii="Times New Roman" w:hAnsi="Times New Roman" w:cs="Times New Roman"/>
          <w:sz w:val="24"/>
          <w:szCs w:val="24"/>
        </w:rPr>
        <w:br/>
      </w:r>
      <w:r w:rsidRPr="0064748D">
        <w:rPr>
          <w:rFonts w:ascii="Times New Roman" w:hAnsi="Times New Roman" w:cs="Times New Roman"/>
          <w:sz w:val="24"/>
          <w:szCs w:val="24"/>
        </w:rPr>
        <w:t>a) la violazione di legge per falsa, erronea e omessa applicazione delle disposizioni recate dal d.lgs. n. 152/2006 e dal D.M. n. 471/1999 e dell’art. 7 della l. n. 241/1990 nonché la violazione dei principi del giusto procedimento;</w:t>
      </w:r>
      <w:r w:rsidR="00CB67AC">
        <w:rPr>
          <w:rFonts w:ascii="Times New Roman" w:hAnsi="Times New Roman" w:cs="Times New Roman"/>
          <w:sz w:val="24"/>
          <w:szCs w:val="24"/>
        </w:rPr>
        <w:br/>
      </w:r>
      <w:r w:rsidRPr="0064748D">
        <w:rPr>
          <w:rFonts w:ascii="Times New Roman" w:hAnsi="Times New Roman" w:cs="Times New Roman"/>
          <w:sz w:val="24"/>
          <w:szCs w:val="24"/>
        </w:rPr>
        <w:t>b) l’eccesso di potere per travisamento dei fatti e dei presupposti e per difetto di adeguata istruttoria.</w:t>
      </w:r>
      <w:r w:rsidR="00CB67AC">
        <w:rPr>
          <w:rFonts w:ascii="Times New Roman" w:hAnsi="Times New Roman" w:cs="Times New Roman"/>
          <w:sz w:val="24"/>
          <w:szCs w:val="24"/>
        </w:rPr>
        <w:br/>
      </w:r>
      <w:r w:rsidRPr="0064748D">
        <w:rPr>
          <w:rFonts w:ascii="Times New Roman" w:hAnsi="Times New Roman" w:cs="Times New Roman"/>
          <w:sz w:val="24"/>
          <w:szCs w:val="24"/>
        </w:rPr>
        <w:t xml:space="preserve">III. Si è costituita l’Amministrazione comunale, concludendo per il rigetto del ricorso. </w:t>
      </w:r>
      <w:r w:rsidR="00CB67AC">
        <w:rPr>
          <w:rFonts w:ascii="Times New Roman" w:hAnsi="Times New Roman" w:cs="Times New Roman"/>
          <w:sz w:val="24"/>
          <w:szCs w:val="24"/>
        </w:rPr>
        <w:br/>
      </w:r>
      <w:r w:rsidRPr="0064748D">
        <w:rPr>
          <w:rFonts w:ascii="Times New Roman" w:hAnsi="Times New Roman" w:cs="Times New Roman"/>
          <w:sz w:val="24"/>
          <w:szCs w:val="24"/>
        </w:rPr>
        <w:t>IV. All’udienza pubblica del 13 dicembre 2012, fissata per la discussione, le cause sono state trattenute in decisione.</w:t>
      </w:r>
      <w:r w:rsidR="00CB67AC">
        <w:rPr>
          <w:rFonts w:ascii="Times New Roman" w:hAnsi="Times New Roman" w:cs="Times New Roman"/>
          <w:sz w:val="24"/>
          <w:szCs w:val="24"/>
        </w:rPr>
        <w:br/>
      </w:r>
      <w:r w:rsidRPr="0064748D">
        <w:rPr>
          <w:rFonts w:ascii="Times New Roman" w:hAnsi="Times New Roman" w:cs="Times New Roman"/>
          <w:sz w:val="24"/>
          <w:szCs w:val="24"/>
        </w:rPr>
        <w:t>V. Il ricorso è fondato nei termini di seguito esposti.</w:t>
      </w:r>
      <w:r w:rsidR="00CB67AC">
        <w:rPr>
          <w:rFonts w:ascii="Times New Roman" w:hAnsi="Times New Roman" w:cs="Times New Roman"/>
          <w:sz w:val="24"/>
          <w:szCs w:val="24"/>
        </w:rPr>
        <w:br/>
      </w:r>
      <w:r w:rsidRPr="0064748D">
        <w:rPr>
          <w:rFonts w:ascii="Times New Roman" w:hAnsi="Times New Roman" w:cs="Times New Roman"/>
          <w:sz w:val="24"/>
          <w:szCs w:val="24"/>
        </w:rPr>
        <w:t>V.1. I ricorrenti deducono l’omessa comunicazione di avvio del procedimento volto all’irrogazione della sanzione ripristinatoria nonché la violazione del principio del contraddittorio e il difetto di istruttoria che avrebbero inficiato l’intera procedura non essendo stato provato alcun loro coinvolgimento, a titolo di dolo o di colpa, nell’abbandono indiscriminato dei rifiuti.</w:t>
      </w:r>
      <w:r w:rsidR="00CB67AC">
        <w:rPr>
          <w:rFonts w:ascii="Times New Roman" w:hAnsi="Times New Roman" w:cs="Times New Roman"/>
          <w:sz w:val="24"/>
          <w:szCs w:val="24"/>
        </w:rPr>
        <w:br/>
      </w:r>
      <w:r w:rsidRPr="0064748D">
        <w:rPr>
          <w:rFonts w:ascii="Times New Roman" w:hAnsi="Times New Roman" w:cs="Times New Roman"/>
          <w:sz w:val="24"/>
          <w:szCs w:val="24"/>
        </w:rPr>
        <w:t>Le censure sono fondate.</w:t>
      </w:r>
      <w:r w:rsidR="00CB67AC">
        <w:rPr>
          <w:rFonts w:ascii="Times New Roman" w:hAnsi="Times New Roman" w:cs="Times New Roman"/>
          <w:sz w:val="24"/>
          <w:szCs w:val="24"/>
        </w:rPr>
        <w:br/>
      </w:r>
      <w:r w:rsidRPr="0064748D">
        <w:rPr>
          <w:rFonts w:ascii="Times New Roman" w:hAnsi="Times New Roman" w:cs="Times New Roman"/>
          <w:sz w:val="24"/>
          <w:szCs w:val="24"/>
        </w:rPr>
        <w:t>V.2. Dispone, infatti, per la parte d'interesse, l’art. 192 del d.lgs. n. 152/2006 (già art. 14 del d.lgs. n. 22/1997), rubricato “Divieto di abbandono”, del quale la parte ricorrente lamenta la violazione: “3. Fatta salva l’applicazione delle sanzioni di cui agli articoli 255 e 256, chiunque viola i divieti di cui ai commi 1 e 2 è tenuto a procedere alla rimozione, all’avvio a recupero o allo smaltimento dei rifiuti ed al ripristino dello stato dei luoghi in solido con il proprietario e con i titolari di diritti reali o personali di godimento sull'area, ai quali tale violazione sia imputabile a titolo di dolo o colpa, in base agli accertamenti effettuati, in contraddittorio con i soggetti interessati, dai soggetti preposti al controllo. Il Sindaco dispone con ordinanza le operazioni a tal fine necessarie ed il termine entro cui provvedere, decorso il quale procede all’esecuzione in danno dei soggetti obbligati ed al recupero delle somme anticipate”.</w:t>
      </w:r>
      <w:r w:rsidR="00CB67AC">
        <w:rPr>
          <w:rFonts w:ascii="Times New Roman" w:hAnsi="Times New Roman" w:cs="Times New Roman"/>
          <w:sz w:val="24"/>
          <w:szCs w:val="24"/>
        </w:rPr>
        <w:br/>
      </w:r>
      <w:r w:rsidRPr="0064748D">
        <w:rPr>
          <w:rFonts w:ascii="Times New Roman" w:hAnsi="Times New Roman" w:cs="Times New Roman"/>
          <w:sz w:val="24"/>
          <w:szCs w:val="24"/>
        </w:rPr>
        <w:t>V.3. Ora, secondo condiviso orientamento giurisprudenziale:</w:t>
      </w:r>
    </w:p>
    <w:p w:rsidR="00683B0A" w:rsidRPr="0064748D" w:rsidRDefault="00683B0A" w:rsidP="00683B0A">
      <w:pPr>
        <w:rPr>
          <w:rFonts w:ascii="Times New Roman" w:hAnsi="Times New Roman" w:cs="Times New Roman"/>
          <w:sz w:val="24"/>
          <w:szCs w:val="24"/>
        </w:rPr>
      </w:pPr>
      <w:r w:rsidRPr="0064748D">
        <w:rPr>
          <w:rFonts w:ascii="Times New Roman" w:hAnsi="Times New Roman" w:cs="Times New Roman"/>
          <w:sz w:val="24"/>
          <w:szCs w:val="24"/>
        </w:rPr>
        <w:lastRenderedPageBreak/>
        <w:t>A) “sussiste la violazione dell’art. 7, l. n. 241 del 1990, per non avere i soggetti privati interessati potuto partecipare al procedimento d’irrogazione della sanzione loro inflitta, in assenza del preavviso di avvio del procedimento, con correlativa impossibilità di agire in contraddittorio con la P.A. contestante l’omessa vigilanza sull’accumulo dei rifiuti, l’ordine della cui rimozione può essere adottato esclusivamente in base agli accertamenti effettuati, in contraddittorio con i soggetti interessati, da chi sia preposto al controllo; rispetto a tale contraddittorio la comunicazione dell’avvio del procedimento si configura come un adempimento indispensabile al fine della sua effettiva instaurazione” (T.A.R. Emilia Romagna, Parma, sez. I, 12 luglio 2011, n. 255);</w:t>
      </w:r>
      <w:r w:rsidR="00F816BD">
        <w:rPr>
          <w:rFonts w:ascii="Times New Roman" w:hAnsi="Times New Roman" w:cs="Times New Roman"/>
          <w:sz w:val="24"/>
          <w:szCs w:val="24"/>
        </w:rPr>
        <w:br/>
      </w:r>
      <w:r w:rsidRPr="0064748D">
        <w:rPr>
          <w:rFonts w:ascii="Times New Roman" w:hAnsi="Times New Roman" w:cs="Times New Roman"/>
          <w:sz w:val="24"/>
          <w:szCs w:val="24"/>
        </w:rPr>
        <w:t>B) invero, “per il configurarsi di una responsabilità per dolo o colpa del proprietario o di chi abbia, anche se in via di mero fatto, la disponibilità della discussa area, occorre che il suo coinvolgimento a titolo di dolo o colpa risulti a seguito di un’adeguata istruttoria e con l’ausilio del privato stesso, da convocarsi in contraddittorio (il che, nella specie, non è avvenuto) per fornire elementi utili di valutazione per l’accertamento delle reali responsabilità, ex art. 192, d.lgs. n. 152 del 2006 (già art. 14, d.lgs. 5 febbraio 1997 n. 22)”.</w:t>
      </w:r>
      <w:r w:rsidR="00F816BD">
        <w:rPr>
          <w:rFonts w:ascii="Times New Roman" w:hAnsi="Times New Roman" w:cs="Times New Roman"/>
          <w:sz w:val="24"/>
          <w:szCs w:val="24"/>
        </w:rPr>
        <w:br/>
      </w:r>
      <w:r w:rsidRPr="0064748D">
        <w:rPr>
          <w:rFonts w:ascii="Times New Roman" w:hAnsi="Times New Roman" w:cs="Times New Roman"/>
          <w:sz w:val="24"/>
          <w:szCs w:val="24"/>
        </w:rPr>
        <w:t>“La norma configura l’ordinanza di rimozione di rifiuti abbandonati come ingiunzione di sgombero a carattere sanzionatorio, esigente l’imputazione a carico dei soggetti obbligati per dolo o colpa nel comportamento tenuto in violazione dei divieti di legge, esclusa ogni forma di responsabilità oggettiva per violazione di un generico dovere di vigilanza” (T.A.R. Emilia Romagna, Parma, sez. I, 12 luglio 2011, n. 255; nello stesso senso, T.A.R. Sardegna, Cagliari, sez. I, 5 giugno 2012, n. 560; Consiglio Stato, sez. V, 25 giugno 2010, n. 4073;);</w:t>
      </w:r>
      <w:r w:rsidR="00F816BD">
        <w:rPr>
          <w:rFonts w:ascii="Times New Roman" w:hAnsi="Times New Roman" w:cs="Times New Roman"/>
          <w:sz w:val="24"/>
          <w:szCs w:val="24"/>
        </w:rPr>
        <w:br/>
      </w:r>
      <w:r w:rsidRPr="0064748D">
        <w:rPr>
          <w:rFonts w:ascii="Times New Roman" w:hAnsi="Times New Roman" w:cs="Times New Roman"/>
          <w:sz w:val="24"/>
          <w:szCs w:val="24"/>
        </w:rPr>
        <w:t>C) “l’obbligo di bonifica o di messa in sicurezza non può essere, invece, addossato al proprietario incolpevole, ove manchi ogni responsabilità del medesimo. La P.A. non può, pertanto, imporre ai privati che non abbiano alcuna responsabilità diretta sull’origine del fenomeno contestato, ma che vengano individuati solo quali proprietari del bene, lo svolgimento delle attività di recupero e di risanamento. L’enunciato è conforme al principio “chi inquina paga”, cui si ispira la normativa comunitaria (art. 174, ex art. 130/R, trattato Ce), la quale impone al soggetto che fa correre un rischio d’inquinamento di sostenere i costi della prevenzione o della riparazione (T.A.R. Toscana, Firenze, sez. II, 3 marzo 2010, n. 594; T.A.R. Puglia, Lecce, sez. I, 2 novembre 2011, n. 1901);</w:t>
      </w:r>
      <w:r w:rsidR="00F816BD">
        <w:rPr>
          <w:rFonts w:ascii="Times New Roman" w:hAnsi="Times New Roman" w:cs="Times New Roman"/>
          <w:sz w:val="24"/>
          <w:szCs w:val="24"/>
        </w:rPr>
        <w:br/>
      </w:r>
      <w:r w:rsidRPr="0064748D">
        <w:rPr>
          <w:rFonts w:ascii="Times New Roman" w:hAnsi="Times New Roman" w:cs="Times New Roman"/>
          <w:sz w:val="24"/>
          <w:szCs w:val="24"/>
        </w:rPr>
        <w:t>D) “la mancata chiusura del fondo da parte del relativo proprietario non costituisce comportamento colposo idoneo per imputargli la responsabilità di un indebito deposito di rifiuti sul terreno, posto che, per principio generale, la chiusura del fondo costituisce una mera facoltà del proprietario e mai un obbligo” (T.A.R. Sardegna, Cagliari, sez. I, 5 giugno 2012, n. 560);</w:t>
      </w:r>
      <w:r w:rsidR="00F816BD">
        <w:rPr>
          <w:rFonts w:ascii="Times New Roman" w:hAnsi="Times New Roman" w:cs="Times New Roman"/>
          <w:sz w:val="24"/>
          <w:szCs w:val="24"/>
        </w:rPr>
        <w:br/>
      </w:r>
      <w:r w:rsidRPr="0064748D">
        <w:rPr>
          <w:rFonts w:ascii="Times New Roman" w:hAnsi="Times New Roman" w:cs="Times New Roman"/>
          <w:sz w:val="24"/>
          <w:szCs w:val="24"/>
        </w:rPr>
        <w:t>E) “nei casi d’inquinamento diffuso, ossia in quei casi in cui non sia possibile o sia oltremodo difficoltoso accertare la responsabilità dell’autore dell’inquinamento, la bonifica resta a carico della P.A. e i relativi vantaggi dei privati proprietari o detentori dei fondi bonificati, in termini di aumento di valore del fondo, potranno costituire giusta causa di recupero delle corrispondenti somme, nei limiti ordinari delle azioni di arricchimento” (T.A.R. Friuli Venezia Giulia, Trieste, sez. I, 17 dicembre 2009, n. 837; Consiglio di Stato, sez. VI, 18 aprile 2011, n. 2376).</w:t>
      </w:r>
      <w:r w:rsidR="00F816BD">
        <w:rPr>
          <w:rFonts w:ascii="Times New Roman" w:hAnsi="Times New Roman" w:cs="Times New Roman"/>
          <w:sz w:val="24"/>
          <w:szCs w:val="24"/>
        </w:rPr>
        <w:br/>
      </w:r>
      <w:r w:rsidRPr="0064748D">
        <w:rPr>
          <w:rFonts w:ascii="Times New Roman" w:hAnsi="Times New Roman" w:cs="Times New Roman"/>
          <w:sz w:val="24"/>
          <w:szCs w:val="24"/>
        </w:rPr>
        <w:t>V.4. Nel caso di specie, infatti:</w:t>
      </w:r>
      <w:r w:rsidR="00F816BD">
        <w:rPr>
          <w:rFonts w:ascii="Times New Roman" w:hAnsi="Times New Roman" w:cs="Times New Roman"/>
          <w:sz w:val="24"/>
          <w:szCs w:val="24"/>
        </w:rPr>
        <w:br/>
      </w:r>
      <w:r w:rsidRPr="0064748D">
        <w:rPr>
          <w:rFonts w:ascii="Times New Roman" w:hAnsi="Times New Roman" w:cs="Times New Roman"/>
          <w:sz w:val="24"/>
          <w:szCs w:val="24"/>
        </w:rPr>
        <w:t>a) è incontestata tra le parti l’assenza della comunicazione di avvio di procedimento finalizzato alla bonifica dell’area;</w:t>
      </w:r>
      <w:r w:rsidR="00F816BD">
        <w:rPr>
          <w:rFonts w:ascii="Times New Roman" w:hAnsi="Times New Roman" w:cs="Times New Roman"/>
          <w:sz w:val="24"/>
          <w:szCs w:val="24"/>
        </w:rPr>
        <w:br/>
      </w:r>
      <w:r w:rsidRPr="0064748D">
        <w:rPr>
          <w:rFonts w:ascii="Times New Roman" w:hAnsi="Times New Roman" w:cs="Times New Roman"/>
          <w:sz w:val="24"/>
          <w:szCs w:val="24"/>
        </w:rPr>
        <w:t xml:space="preserve">b) il rapporto del Corpo Forestale dello Stato, Comando Stazione di Taranto, </w:t>
      </w:r>
      <w:proofErr w:type="spellStart"/>
      <w:r w:rsidRPr="0064748D">
        <w:rPr>
          <w:rFonts w:ascii="Times New Roman" w:hAnsi="Times New Roman" w:cs="Times New Roman"/>
          <w:sz w:val="24"/>
          <w:szCs w:val="24"/>
        </w:rPr>
        <w:t>prot</w:t>
      </w:r>
      <w:proofErr w:type="spellEnd"/>
      <w:r w:rsidRPr="0064748D">
        <w:rPr>
          <w:rFonts w:ascii="Times New Roman" w:hAnsi="Times New Roman" w:cs="Times New Roman"/>
          <w:sz w:val="24"/>
          <w:szCs w:val="24"/>
        </w:rPr>
        <w:t>. n. 9590 dell’8 gennaio 2009, richiamato quale unico atto presupposto nell’ordinanza di bonifica gravata, evidenzia come gli autori dell’abbandono dei rifiuti de quo siano rimas</w:t>
      </w:r>
      <w:r w:rsidR="00F816BD">
        <w:rPr>
          <w:rFonts w:ascii="Times New Roman" w:hAnsi="Times New Roman" w:cs="Times New Roman"/>
          <w:sz w:val="24"/>
          <w:szCs w:val="24"/>
        </w:rPr>
        <w:t>ti ignoti, sollecitando le Ammi</w:t>
      </w:r>
      <w:r w:rsidRPr="0064748D">
        <w:rPr>
          <w:rFonts w:ascii="Times New Roman" w:hAnsi="Times New Roman" w:cs="Times New Roman"/>
          <w:sz w:val="24"/>
          <w:szCs w:val="24"/>
        </w:rPr>
        <w:t xml:space="preserve">nistrazioni indicate, tra le quali il Comune di Leporano, a provvedere alle operazioni </w:t>
      </w:r>
      <w:r w:rsidRPr="0064748D">
        <w:rPr>
          <w:rFonts w:ascii="Times New Roman" w:hAnsi="Times New Roman" w:cs="Times New Roman"/>
          <w:sz w:val="24"/>
          <w:szCs w:val="24"/>
        </w:rPr>
        <w:lastRenderedPageBreak/>
        <w:t xml:space="preserve">necessarie per la messa in sicurezza del sito. Se ne riporta il tratto più saliente: “Le attività di indagine compiute dal reparto scrivente sinora non hanno consentito di poter individuare i responsabili dell’abbandono di che trattasi che, al momento, resta ancora ignoto. Per quanto sopra evidenziato, ai sensi di quanto sancito dal </w:t>
      </w:r>
      <w:proofErr w:type="spellStart"/>
      <w:r w:rsidRPr="0064748D">
        <w:rPr>
          <w:rFonts w:ascii="Times New Roman" w:hAnsi="Times New Roman" w:cs="Times New Roman"/>
          <w:sz w:val="24"/>
          <w:szCs w:val="24"/>
        </w:rPr>
        <w:t>d.leg.vo</w:t>
      </w:r>
      <w:proofErr w:type="spellEnd"/>
      <w:r w:rsidRPr="0064748D">
        <w:rPr>
          <w:rFonts w:ascii="Times New Roman" w:hAnsi="Times New Roman" w:cs="Times New Roman"/>
          <w:sz w:val="24"/>
          <w:szCs w:val="24"/>
        </w:rPr>
        <w:t xml:space="preserve"> nr. 152/2006 e </w:t>
      </w:r>
      <w:proofErr w:type="spellStart"/>
      <w:r w:rsidRPr="0064748D">
        <w:rPr>
          <w:rFonts w:ascii="Times New Roman" w:hAnsi="Times New Roman" w:cs="Times New Roman"/>
          <w:sz w:val="24"/>
          <w:szCs w:val="24"/>
        </w:rPr>
        <w:t>s.m.i.</w:t>
      </w:r>
      <w:proofErr w:type="spellEnd"/>
      <w:r w:rsidRPr="0064748D">
        <w:rPr>
          <w:rFonts w:ascii="Times New Roman" w:hAnsi="Times New Roman" w:cs="Times New Roman"/>
          <w:sz w:val="24"/>
          <w:szCs w:val="24"/>
        </w:rPr>
        <w:t xml:space="preserve">, codeste Autorità vogliano provvedere ognuna per i compiti di propria competenza, alle operazioni necessarie alla messa in sicurezza, di bonifica e di ripristino ambientale della suddetta area, giacché la normativa vigente in materia, pone come obiettivo primario ed inconfutabile la tutela della salute pubblica e la protezione dell’ambiente e del paesaggio”. </w:t>
      </w:r>
      <w:r w:rsidR="00F816BD">
        <w:rPr>
          <w:rFonts w:ascii="Times New Roman" w:hAnsi="Times New Roman" w:cs="Times New Roman"/>
          <w:sz w:val="24"/>
          <w:szCs w:val="24"/>
        </w:rPr>
        <w:br/>
      </w:r>
      <w:r w:rsidRPr="0064748D">
        <w:rPr>
          <w:rFonts w:ascii="Times New Roman" w:hAnsi="Times New Roman" w:cs="Times New Roman"/>
          <w:sz w:val="24"/>
          <w:szCs w:val="24"/>
        </w:rPr>
        <w:t>VI. Alla luce delle sovra esposte determinazioni, il ricorso va accolto.</w:t>
      </w:r>
      <w:r w:rsidR="00F816BD">
        <w:rPr>
          <w:rFonts w:ascii="Times New Roman" w:hAnsi="Times New Roman" w:cs="Times New Roman"/>
          <w:sz w:val="24"/>
          <w:szCs w:val="24"/>
        </w:rPr>
        <w:br/>
      </w:r>
      <w:r w:rsidRPr="0064748D">
        <w:rPr>
          <w:rFonts w:ascii="Times New Roman" w:hAnsi="Times New Roman" w:cs="Times New Roman"/>
          <w:sz w:val="24"/>
          <w:szCs w:val="24"/>
        </w:rPr>
        <w:t xml:space="preserve">VII. Ragioni di equità inducono il Collegio a compensare tra le parti le spese e competenze di giudizio. </w:t>
      </w:r>
      <w:bookmarkStart w:id="0" w:name="_GoBack"/>
      <w:bookmarkEnd w:id="0"/>
    </w:p>
    <w:sectPr w:rsidR="00683B0A" w:rsidRPr="006474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0A"/>
    <w:rsid w:val="0064748D"/>
    <w:rsid w:val="00683B0A"/>
    <w:rsid w:val="008A373B"/>
    <w:rsid w:val="00CB67AC"/>
    <w:rsid w:val="00F81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3B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3B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7674">
      <w:bodyDiv w:val="1"/>
      <w:marLeft w:val="851"/>
      <w:marRight w:val="851"/>
      <w:marTop w:val="1134"/>
      <w:marBottom w:val="567"/>
      <w:divBdr>
        <w:top w:val="none" w:sz="0" w:space="0" w:color="auto"/>
        <w:left w:val="none" w:sz="0" w:space="0" w:color="auto"/>
        <w:bottom w:val="none" w:sz="0" w:space="0" w:color="auto"/>
        <w:right w:val="none" w:sz="0" w:space="0" w:color="auto"/>
      </w:divBdr>
    </w:div>
    <w:div w:id="149510228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1238</Words>
  <Characters>7062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1</cp:revision>
  <dcterms:created xsi:type="dcterms:W3CDTF">2013-03-14T14:22:00Z</dcterms:created>
  <dcterms:modified xsi:type="dcterms:W3CDTF">2013-03-14T14:58:00Z</dcterms:modified>
</cp:coreProperties>
</file>