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C" w:rsidRPr="00797D9C" w:rsidRDefault="00797D9C" w:rsidP="00797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D9C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797D9C">
        <w:rPr>
          <w:rFonts w:ascii="Times New Roman" w:hAnsi="Times New Roman" w:cs="Times New Roman"/>
          <w:b/>
          <w:sz w:val="24"/>
          <w:szCs w:val="24"/>
        </w:rPr>
        <w:t>. Pen.</w:t>
      </w:r>
      <w:r w:rsidR="00E32A90">
        <w:rPr>
          <w:rFonts w:ascii="Times New Roman" w:hAnsi="Times New Roman" w:cs="Times New Roman"/>
          <w:b/>
          <w:sz w:val="24"/>
          <w:szCs w:val="24"/>
        </w:rPr>
        <w:t>, Sez. III</w:t>
      </w:r>
      <w:r w:rsidRPr="00797D9C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E32A90">
        <w:rPr>
          <w:rFonts w:ascii="Times New Roman" w:hAnsi="Times New Roman" w:cs="Times New Roman"/>
          <w:b/>
          <w:sz w:val="24"/>
          <w:szCs w:val="24"/>
        </w:rPr>
        <w:t>49591</w:t>
      </w:r>
      <w:r w:rsidRPr="00797D9C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E32A90">
        <w:rPr>
          <w:rFonts w:ascii="Times New Roman" w:hAnsi="Times New Roman" w:cs="Times New Roman"/>
          <w:b/>
          <w:sz w:val="24"/>
          <w:szCs w:val="24"/>
        </w:rPr>
        <w:t>16/12/2015</w:t>
      </w:r>
      <w:r w:rsidRPr="00797D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97D9C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797D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A90">
        <w:rPr>
          <w:rFonts w:ascii="Times New Roman" w:hAnsi="Times New Roman" w:cs="Times New Roman"/>
          <w:b/>
          <w:sz w:val="24"/>
          <w:szCs w:val="24"/>
        </w:rPr>
        <w:t>Franco</w:t>
      </w:r>
      <w:r w:rsidRPr="00797D9C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E32A90">
        <w:rPr>
          <w:rFonts w:ascii="Times New Roman" w:hAnsi="Times New Roman" w:cs="Times New Roman"/>
          <w:b/>
          <w:sz w:val="24"/>
          <w:szCs w:val="24"/>
        </w:rPr>
        <w:t>Ramacci</w:t>
      </w:r>
      <w:r w:rsidRPr="00797D9C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E32A90">
        <w:rPr>
          <w:rFonts w:ascii="Times New Roman" w:hAnsi="Times New Roman" w:cs="Times New Roman"/>
          <w:b/>
          <w:sz w:val="24"/>
          <w:szCs w:val="24"/>
        </w:rPr>
        <w:t>S.G.</w:t>
      </w:r>
    </w:p>
    <w:p w:rsidR="00797D9C" w:rsidRPr="00797D9C" w:rsidRDefault="00797D9C" w:rsidP="00797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D9C" w:rsidRPr="00797D9C" w:rsidRDefault="00797D9C" w:rsidP="007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797D9C">
        <w:rPr>
          <w:rFonts w:ascii="Times New Roman" w:hAnsi="Times New Roman" w:cs="Times New Roman"/>
          <w:sz w:val="24"/>
          <w:szCs w:val="24"/>
        </w:rPr>
        <w:t xml:space="preserve">– </w:t>
      </w:r>
      <w:r w:rsidR="00227D32">
        <w:rPr>
          <w:rFonts w:ascii="Times New Roman" w:hAnsi="Times New Roman" w:cs="Times New Roman"/>
          <w:sz w:val="24"/>
          <w:szCs w:val="24"/>
        </w:rPr>
        <w:t>Omessa vigil</w:t>
      </w:r>
      <w:r w:rsidR="00DC2868">
        <w:rPr>
          <w:rFonts w:ascii="Times New Roman" w:hAnsi="Times New Roman" w:cs="Times New Roman"/>
          <w:sz w:val="24"/>
          <w:szCs w:val="24"/>
        </w:rPr>
        <w:t>anza sui dipendenti</w:t>
      </w:r>
      <w:bookmarkStart w:id="0" w:name="_GoBack"/>
      <w:bookmarkEnd w:id="0"/>
      <w:r w:rsidR="00227D32">
        <w:rPr>
          <w:rFonts w:ascii="Times New Roman" w:hAnsi="Times New Roman" w:cs="Times New Roman"/>
          <w:sz w:val="24"/>
          <w:szCs w:val="24"/>
        </w:rPr>
        <w:t>: si configura il reato ex art. 256 TUA?</w:t>
      </w:r>
    </w:p>
    <w:p w:rsidR="00797D9C" w:rsidRPr="00797D9C" w:rsidRDefault="00797D9C" w:rsidP="007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3E" w:rsidRPr="00E32A90" w:rsidRDefault="00E32A90" w:rsidP="00AC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2A90">
        <w:rPr>
          <w:rFonts w:ascii="Times New Roman" w:hAnsi="Times New Roman" w:cs="Times New Roman"/>
          <w:i/>
          <w:sz w:val="24"/>
          <w:szCs w:val="24"/>
        </w:rPr>
        <w:t>I</w:t>
      </w:r>
      <w:r w:rsidR="00AC1F3E" w:rsidRPr="00E32A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 reato previsto dall'art. 256, comma </w:t>
      </w:r>
      <w:r w:rsidR="006D4178">
        <w:rPr>
          <w:rFonts w:ascii="Times New Roman" w:hAnsi="Times New Roman" w:cs="Times New Roman"/>
          <w:bCs/>
          <w:i/>
          <w:iCs/>
          <w:sz w:val="24"/>
          <w:szCs w:val="24"/>
        </w:rPr>
        <w:t>primo, D</w:t>
      </w:r>
      <w:r w:rsidR="00AC1F3E" w:rsidRPr="00E32A90">
        <w:rPr>
          <w:rFonts w:ascii="Times New Roman" w:hAnsi="Times New Roman" w:cs="Times New Roman"/>
          <w:bCs/>
          <w:i/>
          <w:iCs/>
          <w:sz w:val="24"/>
          <w:szCs w:val="24"/>
        </w:rPr>
        <w:t>.lgs. 3 aprile 2006, n. 152 (attività di gestione di rifiuti non autorizzata), è ascrivibile al titolare dell'impresa anche sotto il profilo della omessa vigilanza sull'operato dei dipendenti che hanno posto in essere la condotta vietata.</w:t>
      </w:r>
    </w:p>
    <w:p w:rsidR="00797D9C" w:rsidRPr="00797D9C" w:rsidRDefault="00797D9C" w:rsidP="00797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D9C" w:rsidRPr="00797D9C" w:rsidRDefault="00797D9C" w:rsidP="00797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9C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1. Il Tribunale di Vicenza, con sentenza emessa il 29/4/2014, a seguito di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opposizione a decreto penale di condanna, ha affermato la responsabilità penale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di </w:t>
      </w:r>
      <w:r w:rsidR="00797D9C" w:rsidRPr="00797D9C">
        <w:rPr>
          <w:rFonts w:ascii="Times New Roman" w:hAnsi="Times New Roman" w:cs="Times New Roman"/>
          <w:bCs/>
          <w:sz w:val="24"/>
          <w:szCs w:val="24"/>
        </w:rPr>
        <w:t>G.S.</w:t>
      </w:r>
      <w:r w:rsidRPr="00797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per il reato</w:t>
      </w:r>
      <w:r w:rsidR="00797D9C">
        <w:rPr>
          <w:rFonts w:ascii="Times New Roman" w:hAnsi="Times New Roman" w:cs="Times New Roman"/>
          <w:sz w:val="24"/>
          <w:szCs w:val="24"/>
        </w:rPr>
        <w:t xml:space="preserve"> di cui all'art. 256 d.lgs. 152/</w:t>
      </w:r>
      <w:r w:rsidRPr="00797D9C">
        <w:rPr>
          <w:rFonts w:ascii="Times New Roman" w:hAnsi="Times New Roman" w:cs="Times New Roman"/>
          <w:sz w:val="24"/>
          <w:szCs w:val="24"/>
        </w:rPr>
        <w:t>06, perché,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quale legale rappresentante della «DITTA </w:t>
      </w:r>
      <w:r w:rsidR="00797D9C">
        <w:rPr>
          <w:rFonts w:ascii="Times New Roman" w:hAnsi="Times New Roman" w:cs="Times New Roman"/>
          <w:sz w:val="24"/>
          <w:szCs w:val="24"/>
        </w:rPr>
        <w:t>S.G. S.p.A</w:t>
      </w:r>
      <w:r w:rsidRPr="00797D9C">
        <w:rPr>
          <w:rFonts w:ascii="Times New Roman" w:hAnsi="Times New Roman" w:cs="Times New Roman"/>
          <w:sz w:val="24"/>
          <w:szCs w:val="24"/>
        </w:rPr>
        <w:t>.»,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effettuava attività di raccolta e stoccaggio di rifiuti non pericolosi, consistenti in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materiale proveniente da demolizione.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Avverso tale pronuncia il predetto propone ricorso per cassazione tramite il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proprio difensore di fiducia, deducendo i motivi di seguito enunciati nei limiti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strettamente necessari per la motivazione, ai sensi dell'art. 173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 cod.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2. Con un primo motivo di ricorso deduce il vizio di motivazione, rilevando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che il giudice del merito avrebbe errato nel ricostruire la vicenda, nell'individuare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il soggetto responsabile ed il momento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consumativo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 del reato.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Osserva, a tale proposito, che gli esiti probatori del procedimento avrebbero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escluso il conferimento di rifiuti da parte della società, risultando che la presenza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dei rifiuti sul posto era risalente nel tempo ed analizza nel dettaglio le risultanze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dell'istruzione dibattimentale.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3. Con un secondo motivo di ricorso lamenta che il Tribunale avrebbe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erroneamente omesso di dichiarare la prescrizione del reato, da tempo maturata.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Insiste, pertanto, per l'accoglimento del ricorso.</w:t>
      </w:r>
    </w:p>
    <w:p w:rsidR="00797D9C" w:rsidRDefault="00797D9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FAC" w:rsidRPr="00797D9C" w:rsidRDefault="00797D9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1. Il ricorso è inammissibile.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Occorre preliminarmente osservare, con riferimento al primo motivo di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ricorso, che le censure formulate nell'atto di impugnazione fanno quasi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esclusivamente riferimento ad una condotta di abbandono di rifiuti che non è,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tuttavia, quella contestata nel caso in esame, avendo l'imputazione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espressamente ad oggetto le attività di raccolta e stoccaggio di rifiuti,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evidentemente in assenza di titolo abilitativo. </w:t>
      </w:r>
      <w:r w:rsidR="00797D9C">
        <w:rPr>
          <w:rFonts w:ascii="Times New Roman" w:hAnsi="Times New Roman" w:cs="Times New Roman"/>
          <w:sz w:val="24"/>
          <w:szCs w:val="24"/>
        </w:rPr>
        <w:t xml:space="preserve">L'art. 183, comma 1, </w:t>
      </w:r>
      <w:proofErr w:type="spellStart"/>
      <w:r w:rsidR="00797D9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797D9C">
        <w:rPr>
          <w:rFonts w:ascii="Times New Roman" w:hAnsi="Times New Roman" w:cs="Times New Roman"/>
          <w:sz w:val="24"/>
          <w:szCs w:val="24"/>
        </w:rPr>
        <w:t>. o) D</w:t>
      </w:r>
      <w:r w:rsidRPr="00797D9C">
        <w:rPr>
          <w:rFonts w:ascii="Times New Roman" w:hAnsi="Times New Roman" w:cs="Times New Roman"/>
          <w:sz w:val="24"/>
          <w:szCs w:val="24"/>
        </w:rPr>
        <w:t xml:space="preserve">.lgs. 152\06 descrive la raccolta come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«il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prelievo dei rifiuti, compresi la cernita preliminare e il deposito preliminare alla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raccolta, ivi compresa la gestione dei centri di raccolta di cui alla lettera "mm", ai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fini del loro trasporto in un impianto di trattamento».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 xml:space="preserve">La successiva lettera aa) definisce inoltre lo stoccaggio come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«le attività di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smaltimento consistenti nelle operazioni di deposito preliminare di rifiuti di cui al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punto D15 dell'allegato B alla parte quarta del presente decreto, nonché le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attività di recupero consistenti nelle operazioni di messa in riserva di rifiuti di cui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al punto R13 dell'allegato C alla medesima parte quarta».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 xml:space="preserve">Il punto D15 dell'allegato B alla parte quarta riguarda il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«deposito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preliminare prima di una delle operazioni di cui ai punti da D1 a D14 (escluso il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deposito temporaneo, prima della raccolta, nel luogo in cui sono prodotti)».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Le operazioni cui si riferisce l'allegato B sono quelle di smaltimento, definito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dalla lettera z) dell'art. 183 d.lgs. 152\06 come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«qualsiasi operazione diversa dal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recupero anche quando l'operazione ha come conseguenza secondaria il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recupero di sostanze o di energia. L'Allegato B alla parte IV del presente decreto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riporta un elenco non esaustivo delle operazioni di smaltimento».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 xml:space="preserve">Tra le operazioni descritte nell'allegato B figura, al punto D1, il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«deposito sul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 xml:space="preserve">o nel suolo» </w:t>
      </w:r>
      <w:r w:rsidRPr="00797D9C">
        <w:rPr>
          <w:rFonts w:ascii="Times New Roman" w:hAnsi="Times New Roman" w:cs="Times New Roman"/>
          <w:sz w:val="24"/>
          <w:szCs w:val="24"/>
        </w:rPr>
        <w:t>che, sulla base di quanto riportato in sentenza, sembra essere quella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rilevante nel caso di specie.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2. Risulta infatti dalla decisione impugnata che, all'atto dell'accertamento da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parte della polizia giudiziaria presso l'area di cava nella disponibilità della società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del ricorrente, il 2/7/2009, venivano </w:t>
      </w:r>
      <w:r w:rsidRPr="00797D9C">
        <w:rPr>
          <w:rFonts w:ascii="Times New Roman" w:hAnsi="Times New Roman" w:cs="Times New Roman"/>
          <w:sz w:val="24"/>
          <w:szCs w:val="24"/>
        </w:rPr>
        <w:lastRenderedPageBreak/>
        <w:t xml:space="preserve">sorpresi due operai intenti a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«vagliare»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 xml:space="preserve">«qualche centinaio di metri cubi» </w:t>
      </w:r>
      <w:r w:rsidRPr="00797D9C">
        <w:rPr>
          <w:rFonts w:ascii="Times New Roman" w:hAnsi="Times New Roman" w:cs="Times New Roman"/>
          <w:sz w:val="24"/>
          <w:szCs w:val="24"/>
        </w:rPr>
        <w:t xml:space="preserve">di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«materiale composto da terre e rocce e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rifiuti provenienti da demolizione stradali ed edili di varia natura (pezzi di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cemento, pezzi di asfalto, altre demolizioni, mattoni)».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 xml:space="preserve">Ad un successivo sopralluogo del 10/7/2009 erano state realizzate «7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trincee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sul fondo di cava, sia sulla porzione di area destinata esclusivamente all'attività</w:t>
      </w:r>
      <w:r w:rsidR="00797D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>di cava, sia sulla porzione destinata all'attività di recupero rifiuti».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Sempre da quanto specificato in sentenza, emerge che tale attività aveva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come finalità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 xml:space="preserve">la «ricomposizione mediante riempimento» </w:t>
      </w:r>
      <w:r w:rsidRPr="00797D9C">
        <w:rPr>
          <w:rFonts w:ascii="Times New Roman" w:hAnsi="Times New Roman" w:cs="Times New Roman"/>
          <w:sz w:val="24"/>
          <w:szCs w:val="24"/>
        </w:rPr>
        <w:t>della cava ad attività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ormai cessata.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Sulla base di quanto verificato in fatto dal Tribunale, dunque, appare corretto</w:t>
      </w:r>
      <w:r w:rsidR="00797D9C">
        <w:rPr>
          <w:rFonts w:ascii="Times New Roman" w:hAnsi="Times New Roman" w:cs="Times New Roman"/>
          <w:sz w:val="24"/>
          <w:szCs w:val="24"/>
        </w:rPr>
        <w:t xml:space="preserve"> il riferimento, </w:t>
      </w:r>
      <w:r w:rsidRPr="00797D9C">
        <w:rPr>
          <w:rFonts w:ascii="Times New Roman" w:hAnsi="Times New Roman" w:cs="Times New Roman"/>
          <w:sz w:val="24"/>
          <w:szCs w:val="24"/>
        </w:rPr>
        <w:t>effettuato nell'imputazione, alle attività di gestione in esso</w:t>
      </w:r>
      <w:r w:rsidR="00797D9C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indicate, mentre del tutto inconferenti risultano i richiami del ricorrente ad</w:t>
      </w:r>
      <w:r w:rsidR="00797D9C">
        <w:rPr>
          <w:rFonts w:ascii="Times New Roman" w:hAnsi="Times New Roman" w:cs="Times New Roman"/>
          <w:sz w:val="24"/>
          <w:szCs w:val="24"/>
        </w:rPr>
        <w:t xml:space="preserve"> attività di abbandono</w:t>
      </w:r>
      <w:r w:rsidRPr="00797D9C">
        <w:rPr>
          <w:rFonts w:ascii="Times New Roman" w:hAnsi="Times New Roman" w:cs="Times New Roman"/>
          <w:sz w:val="24"/>
          <w:szCs w:val="24"/>
        </w:rPr>
        <w:t xml:space="preserve"> mai contestata.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3. Risulta parimenti rilevato in fatto dal giudice del merito che dette attività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erano svolte, quanto meno in parte, sulla zona di cava nella quale non era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autorizzata l'attività di recupero (peraltro diversa da quelle accertate dalla polizia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giudiziaria) e che l'area oggetto dell'intervento era accessibile ai soli dipendenti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della società ed, infatti, tali erano coloro che vennero trovati sul posto.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L'attività di gestione illecita veniva dunque svolta nella sede operativa della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società, indicata anche nel capo di imputazione ed era certamente obbligo del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legale rappresentante della società medesima, in assenza di particolari assetti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societari o specifiche deleghe di funzioni, prendere cognizione della violazione di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specifici obblighi di legge da parte dei dipendenti, considerando anche che egli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avrebbe beneficiato dei vantaggi conseguiti dalla società dall'inosservanza delle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specifiche disposizioni in materia di rifiuti.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Va peraltro ricordato, a tale proposito, che la responsabilità per la attività di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gestione non autorizzata non attiene necessariamente al profilo della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consapevolezza e volontarietà della condotta, potendo scaturire da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comportamenti che violino i doveri di diligenza per la mancata adozione di tutte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le misure necessarie per evitare illeciti nella predetta gestione e che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legittimamente si richiedono ai soggetti preposti alla direzione dell'azienda (Sez.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3, n. 47432 del 5/11/2003,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Bellesini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 ed altri,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. 226868.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 Sez. 3, n. 19332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del 11/3/2009,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Soria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, non massimata; Sez. 3, n. 23971 del 25/5/2011,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Graniero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,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. 250485. Vedi anche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 Sez. 3, n. 45932 del 3/5/2013, Manti, non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massimata; Sez. 3 n. 15989 del 14/3/2007, Minella, non massi</w:t>
      </w:r>
      <w:r w:rsidR="00AC1F3E">
        <w:rPr>
          <w:rFonts w:ascii="Times New Roman" w:hAnsi="Times New Roman" w:cs="Times New Roman"/>
          <w:sz w:val="24"/>
          <w:szCs w:val="24"/>
        </w:rPr>
        <w:t>m</w:t>
      </w:r>
      <w:r w:rsidRPr="00797D9C">
        <w:rPr>
          <w:rFonts w:ascii="Times New Roman" w:hAnsi="Times New Roman" w:cs="Times New Roman"/>
          <w:sz w:val="24"/>
          <w:szCs w:val="24"/>
        </w:rPr>
        <w:t>ata).</w:t>
      </w:r>
    </w:p>
    <w:p w:rsidR="00077FAC" w:rsidRPr="00AC1F3E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 xml:space="preserve">4. Va pertanto ribadito che </w:t>
      </w:r>
      <w:r w:rsidRPr="00AC1F3E">
        <w:rPr>
          <w:rFonts w:ascii="Times New Roman" w:hAnsi="Times New Roman" w:cs="Times New Roman"/>
          <w:bCs/>
          <w:iCs/>
          <w:sz w:val="24"/>
          <w:szCs w:val="24"/>
        </w:rPr>
        <w:t>il reato previsto dall'art. 256, comma</w:t>
      </w:r>
      <w:r w:rsidR="00AC1F3E" w:rsidRPr="00AC1F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1F3E">
        <w:rPr>
          <w:rFonts w:ascii="Times New Roman" w:hAnsi="Times New Roman" w:cs="Times New Roman"/>
          <w:bCs/>
          <w:iCs/>
          <w:sz w:val="24"/>
          <w:szCs w:val="24"/>
        </w:rPr>
        <w:t>primo, d.lgs. 3 aprile 2006, n. 152 (attività di gestione di rifiuti non</w:t>
      </w:r>
      <w:r w:rsidR="00AC1F3E" w:rsidRPr="00AC1F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1F3E">
        <w:rPr>
          <w:rFonts w:ascii="Times New Roman" w:hAnsi="Times New Roman" w:cs="Times New Roman"/>
          <w:bCs/>
          <w:iCs/>
          <w:sz w:val="24"/>
          <w:szCs w:val="24"/>
        </w:rPr>
        <w:t>autorizzata), è ascrivibile al titolare dell'impresa anche sotto il profilo</w:t>
      </w:r>
      <w:r w:rsidR="00AC1F3E" w:rsidRPr="00AC1F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1F3E">
        <w:rPr>
          <w:rFonts w:ascii="Times New Roman" w:hAnsi="Times New Roman" w:cs="Times New Roman"/>
          <w:bCs/>
          <w:iCs/>
          <w:sz w:val="24"/>
          <w:szCs w:val="24"/>
        </w:rPr>
        <w:t>della omessa vigilanza sull'operato dei dipendenti che hanno posto in</w:t>
      </w:r>
      <w:r w:rsidR="00AC1F3E" w:rsidRPr="00AC1F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1F3E">
        <w:rPr>
          <w:rFonts w:ascii="Times New Roman" w:hAnsi="Times New Roman" w:cs="Times New Roman"/>
          <w:bCs/>
          <w:iCs/>
          <w:sz w:val="24"/>
          <w:szCs w:val="24"/>
        </w:rPr>
        <w:t>essere la condotta vietata.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5. A fronte di ciò, il motivo di ricorso in esame prospetta una lettura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alternativa delle emergenze probatorie, inammissibile in sede di legittimità, con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richiami ad atti del processo la cui consultazione è preclusa a questa Corte.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Basti ricordare, a tale proposito, che la consolidata giurisprudenza è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orientata nel senso di ritenere che il controllo sulla motivazione demandato al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giudice di legittimità resta circoscritto, in ragione della espressa previsione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normativa, al solo accertamento sulla congruità e coerenza dell'apparato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argomentativo con riferimento a tutti gli elementi acquisiti nel corso del processo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 non può risolversi in una diversa lettura degli elementi di fatto posti 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fondamento della decisione o l'autonoma scelta di nuovi e diversi criteri di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giudizio in ordine alla ricostruzione e valutazione dei fatti (si vedano, ad esempio, limitatamente alla pronunce successive alle modifiche apportate all'articolo 606</w:t>
      </w:r>
      <w:r w:rsidR="00AC1F3E">
        <w:rPr>
          <w:rFonts w:ascii="Times New Roman" w:hAnsi="Times New Roman" w:cs="Times New Roman"/>
          <w:sz w:val="24"/>
          <w:szCs w:val="24"/>
        </w:rPr>
        <w:t xml:space="preserve"> cod. </w:t>
      </w:r>
      <w:proofErr w:type="spellStart"/>
      <w:r w:rsidR="00AC1F3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AC1F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1F3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AC1F3E">
        <w:rPr>
          <w:rFonts w:ascii="Times New Roman" w:hAnsi="Times New Roman" w:cs="Times New Roman"/>
          <w:sz w:val="24"/>
          <w:szCs w:val="24"/>
        </w:rPr>
        <w:t>. dalla Legge 46/</w:t>
      </w:r>
      <w:r w:rsidRPr="00797D9C">
        <w:rPr>
          <w:rFonts w:ascii="Times New Roman" w:hAnsi="Times New Roman" w:cs="Times New Roman"/>
          <w:sz w:val="24"/>
          <w:szCs w:val="24"/>
        </w:rPr>
        <w:t>2006, Sez. 3, n. 12110 del 21/11/2008 (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2009), Campanella,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. 243247 ; Sez. 6, n. 23528 del 6/6/2006, Bonifazi,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234155; Sez. 6, n. 14054 del 24/3/2006,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Strazzanti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 233454; Sez. 6, n.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10951 del 15/3/2006, Casula,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 233708).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Sotto tale profilo, tuttavia, la sentenza impugnata risulta immune da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censure, avendo il giudice del merito effettuato una valutazione complessiva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degli elementi fattuali offerti alla sua attenzione del tutto priva di contraddizioni,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con la conseguenza che ciò che il ricorrente richiede è, in sostanza, come si è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detto, una inammissibile rilettura del quadro probatorio e, con essa, il riesame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nel merito della sentenza impugnata.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lastRenderedPageBreak/>
        <w:t>6. Per ciò che concerne, poi, il secondo motivo di ricorso, deve rilevarsi che,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all'atto della pronuncia della sentenza impugnata, la prescrizione del reato non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era affatto maturata.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Invero, il Tribunale ha dato atto del fatto che, al momento del sopralluogo da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parte della polizia giudiziaria, il 2 luglio 2009, le operazioni di gestione erano in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corso di effettuazione, tanto che dipendenti della società vennero trovati sul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posto intenti a </w:t>
      </w:r>
      <w:r w:rsidRPr="00797D9C">
        <w:rPr>
          <w:rFonts w:ascii="Times New Roman" w:hAnsi="Times New Roman" w:cs="Times New Roman"/>
          <w:i/>
          <w:iCs/>
          <w:sz w:val="24"/>
          <w:szCs w:val="24"/>
        </w:rPr>
        <w:t xml:space="preserve">«vagliare» </w:t>
      </w:r>
      <w:r w:rsidRPr="00797D9C">
        <w:rPr>
          <w:rFonts w:ascii="Times New Roman" w:hAnsi="Times New Roman" w:cs="Times New Roman"/>
          <w:sz w:val="24"/>
          <w:szCs w:val="24"/>
        </w:rPr>
        <w:t>i rifiuti, utilizzati successivamente nelle operazioni di</w:t>
      </w:r>
      <w:r w:rsidR="00AC1F3E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ripascimento della cava.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Dunque almeno da tale data andava calcolato il termine massimo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quinquennale di prescrizione, che sarebbe andato quindi a spirare il 2 luglio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2014, dovendosi ad esso aggiungere un periodo di sospensione, pari a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complessivi 294, giorni per rinvio dell'udienza, dal 18/6/2013 all'8/4/2014, in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accoglimento di istanza del difensore, con ulteriore slittamento del termine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massimo al 22 aprile 2015.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Pertanto anche le censure formulate nel motivo di ricorso in esame appaiono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manifestamente infondate.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7. Il ricorso, conseguentemente, deve essere dichiarato inammissibile e alla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declaratoria di inammissibilità - non potendosi escludere che essa sia ascrivibile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a colpa del ricorrente (Corte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 7-13 giugno 2000, n. 186) - consegue l'onere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delle spese del procedimento, nonché quello del versamento, in favore della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Cassa delle ammende, della somma, equitativamente fissata, di euro 1.000,00.</w:t>
      </w:r>
    </w:p>
    <w:p w:rsidR="00077FAC" w:rsidRPr="00797D9C" w:rsidRDefault="00077FAC" w:rsidP="0079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9C">
        <w:rPr>
          <w:rFonts w:ascii="Times New Roman" w:hAnsi="Times New Roman" w:cs="Times New Roman"/>
          <w:sz w:val="24"/>
          <w:szCs w:val="24"/>
        </w:rPr>
        <w:t>L'inammissibilità del ricorso per cassazione per manifesta infondatezza dei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motivi non consente il formarsi di un valido rapporto di impugnazione e,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pertanto, preclude la possibilità di dichiarare le cause di non punibilità di cui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 xml:space="preserve">all'art. 129 cod.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., ivi compresa la prescrizione intervenuta nelle more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r w:rsidRPr="00797D9C">
        <w:rPr>
          <w:rFonts w:ascii="Times New Roman" w:hAnsi="Times New Roman" w:cs="Times New Roman"/>
          <w:sz w:val="24"/>
          <w:szCs w:val="24"/>
        </w:rPr>
        <w:t>del procedimento di legittimità (cfr., da ultimo, Sez. 2, n. 28848 del 8/5/2013,</w:t>
      </w:r>
      <w:r w:rsidR="0099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Ciaffoni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9C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797D9C">
        <w:rPr>
          <w:rFonts w:ascii="Times New Roman" w:hAnsi="Times New Roman" w:cs="Times New Roman"/>
          <w:sz w:val="24"/>
          <w:szCs w:val="24"/>
        </w:rPr>
        <w:t>. 256463).</w:t>
      </w:r>
    </w:p>
    <w:p w:rsidR="00282967" w:rsidRPr="00797D9C" w:rsidRDefault="00993262" w:rsidP="007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sectPr w:rsidR="00282967" w:rsidRPr="00797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AC"/>
    <w:rsid w:val="00077FAC"/>
    <w:rsid w:val="00227D32"/>
    <w:rsid w:val="00282967"/>
    <w:rsid w:val="006D4178"/>
    <w:rsid w:val="00797D9C"/>
    <w:rsid w:val="00993262"/>
    <w:rsid w:val="00AC1F3E"/>
    <w:rsid w:val="00DC2868"/>
    <w:rsid w:val="00E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6</cp:revision>
  <cp:lastPrinted>2016-01-18T13:29:00Z</cp:lastPrinted>
  <dcterms:created xsi:type="dcterms:W3CDTF">2016-01-15T15:52:00Z</dcterms:created>
  <dcterms:modified xsi:type="dcterms:W3CDTF">2016-01-20T08:03:00Z</dcterms:modified>
</cp:coreProperties>
</file>