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01" w:rsidRDefault="002D59C6" w:rsidP="00534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Pen. III n. </w:t>
      </w:r>
      <w:r w:rsidR="0076166F">
        <w:rPr>
          <w:rFonts w:ascii="Times New Roman" w:hAnsi="Times New Roman" w:cs="Times New Roman"/>
          <w:b/>
          <w:sz w:val="24"/>
          <w:szCs w:val="24"/>
        </w:rPr>
        <w:t>33577</w:t>
      </w:r>
      <w:r w:rsidR="007C3ECB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76166F">
        <w:rPr>
          <w:rFonts w:ascii="Times New Roman" w:hAnsi="Times New Roman" w:cs="Times New Roman"/>
          <w:b/>
          <w:sz w:val="24"/>
          <w:szCs w:val="24"/>
        </w:rPr>
        <w:t>31</w:t>
      </w:r>
      <w:r w:rsidR="00EF27A1">
        <w:rPr>
          <w:rFonts w:ascii="Times New Roman" w:hAnsi="Times New Roman" w:cs="Times New Roman"/>
          <w:b/>
          <w:sz w:val="24"/>
          <w:szCs w:val="24"/>
        </w:rPr>
        <w:t>/</w:t>
      </w:r>
      <w:r w:rsidR="0076166F">
        <w:rPr>
          <w:rFonts w:ascii="Times New Roman" w:hAnsi="Times New Roman" w:cs="Times New Roman"/>
          <w:b/>
          <w:sz w:val="24"/>
          <w:szCs w:val="24"/>
        </w:rPr>
        <w:t>08</w:t>
      </w:r>
      <w:r w:rsidR="007C3ECB">
        <w:rPr>
          <w:rFonts w:ascii="Times New Roman" w:hAnsi="Times New Roman" w:cs="Times New Roman"/>
          <w:b/>
          <w:sz w:val="24"/>
          <w:szCs w:val="24"/>
        </w:rPr>
        <w:t xml:space="preserve">/2012 – </w:t>
      </w:r>
      <w:proofErr w:type="spellStart"/>
      <w:r w:rsidR="007C3ECB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="007C3E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166F">
        <w:rPr>
          <w:rFonts w:ascii="Times New Roman" w:hAnsi="Times New Roman" w:cs="Times New Roman"/>
          <w:b/>
          <w:sz w:val="24"/>
          <w:szCs w:val="24"/>
        </w:rPr>
        <w:t>Mannino</w:t>
      </w:r>
      <w:r w:rsidR="007C3ECB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 w:rsidR="0076166F">
        <w:rPr>
          <w:rFonts w:ascii="Times New Roman" w:hAnsi="Times New Roman" w:cs="Times New Roman"/>
          <w:b/>
          <w:sz w:val="24"/>
          <w:szCs w:val="24"/>
        </w:rPr>
        <w:t>Lombardi</w:t>
      </w:r>
      <w:r w:rsidR="007C3ECB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76166F">
        <w:rPr>
          <w:rFonts w:ascii="Times New Roman" w:hAnsi="Times New Roman" w:cs="Times New Roman"/>
          <w:b/>
          <w:sz w:val="24"/>
          <w:szCs w:val="24"/>
        </w:rPr>
        <w:t>Di Gennaro</w:t>
      </w:r>
      <w:r w:rsidR="000D4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ECB" w:rsidRDefault="007C3ECB" w:rsidP="00534A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ECB" w:rsidRDefault="007C3ECB" w:rsidP="00534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Rifiuti</w:t>
      </w:r>
      <w:r w:rsidR="00D5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9C6">
        <w:rPr>
          <w:rFonts w:ascii="Times New Roman" w:hAnsi="Times New Roman" w:cs="Times New Roman"/>
          <w:sz w:val="24"/>
          <w:szCs w:val="24"/>
        </w:rPr>
        <w:t xml:space="preserve">– </w:t>
      </w:r>
      <w:r w:rsidR="0076166F">
        <w:rPr>
          <w:rFonts w:ascii="Times New Roman" w:hAnsi="Times New Roman" w:cs="Times New Roman"/>
          <w:sz w:val="24"/>
          <w:szCs w:val="24"/>
        </w:rPr>
        <w:t>terre e rocce</w:t>
      </w:r>
      <w:r w:rsidR="00B37B33">
        <w:rPr>
          <w:rFonts w:ascii="Times New Roman" w:hAnsi="Times New Roman" w:cs="Times New Roman"/>
          <w:sz w:val="24"/>
          <w:szCs w:val="24"/>
        </w:rPr>
        <w:t xml:space="preserve"> –</w:t>
      </w:r>
      <w:r w:rsidR="0076166F">
        <w:rPr>
          <w:rFonts w:ascii="Times New Roman" w:hAnsi="Times New Roman" w:cs="Times New Roman"/>
          <w:sz w:val="24"/>
          <w:szCs w:val="24"/>
        </w:rPr>
        <w:t xml:space="preserve"> disciplina applicabile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Fermo restando che la classificazione dei materiali di riempimento costituiti da terre e rocce da scavo come sottoprodotti grava sull’utilizzatore e comporta la presenza di un progetto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ambientalmente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compatibile per il loro riutilizzo, per effetto di quanto disposto dall’art. </w:t>
      </w:r>
      <w:r w:rsidRPr="0076166F">
        <w:rPr>
          <w:rFonts w:ascii="Times New Roman" w:hAnsi="Times New Roman" w:cs="Times New Roman"/>
          <w:i/>
          <w:sz w:val="24"/>
          <w:szCs w:val="24"/>
        </w:rPr>
        <w:t xml:space="preserve">39, c. 4, del D. </w:t>
      </w:r>
      <w:proofErr w:type="spellStart"/>
      <w:r w:rsidRPr="0076166F">
        <w:rPr>
          <w:rFonts w:ascii="Times New Roman" w:hAnsi="Times New Roman" w:cs="Times New Roman"/>
          <w:i/>
          <w:sz w:val="24"/>
          <w:szCs w:val="24"/>
        </w:rPr>
        <w:t>Lgs</w:t>
      </w:r>
      <w:proofErr w:type="spellEnd"/>
      <w:r w:rsidRPr="0076166F">
        <w:rPr>
          <w:rFonts w:ascii="Times New Roman" w:hAnsi="Times New Roman" w:cs="Times New Roman"/>
          <w:i/>
          <w:sz w:val="24"/>
          <w:szCs w:val="24"/>
        </w:rPr>
        <w:t xml:space="preserve">. n. 205/2010 l’abrogazione dell’art. 186 del D. </w:t>
      </w:r>
      <w:proofErr w:type="spellStart"/>
      <w:r w:rsidRPr="0076166F">
        <w:rPr>
          <w:rFonts w:ascii="Times New Roman" w:hAnsi="Times New Roman" w:cs="Times New Roman"/>
          <w:i/>
          <w:sz w:val="24"/>
          <w:szCs w:val="24"/>
        </w:rPr>
        <w:t>Lgs</w:t>
      </w:r>
      <w:proofErr w:type="spellEnd"/>
      <w:r w:rsidRPr="0076166F">
        <w:rPr>
          <w:rFonts w:ascii="Times New Roman" w:hAnsi="Times New Roman" w:cs="Times New Roman"/>
          <w:i/>
          <w:sz w:val="24"/>
          <w:szCs w:val="24"/>
        </w:rPr>
        <w:t xml:space="preserve">. n. 152/2006 opera solo a far data dall’entrata in vigore del DM in materia di sottoprodotti, </w:t>
      </w:r>
      <w:r w:rsidR="00C74324">
        <w:rPr>
          <w:rFonts w:ascii="Times New Roman" w:hAnsi="Times New Roman" w:cs="Times New Roman"/>
          <w:i/>
          <w:sz w:val="24"/>
          <w:szCs w:val="24"/>
        </w:rPr>
        <w:t xml:space="preserve">quindi </w:t>
      </w:r>
      <w:r w:rsidRPr="0076166F">
        <w:rPr>
          <w:rFonts w:ascii="Times New Roman" w:hAnsi="Times New Roman" w:cs="Times New Roman"/>
          <w:i/>
          <w:sz w:val="24"/>
          <w:szCs w:val="24"/>
        </w:rPr>
        <w:t xml:space="preserve">il predetto art. 186 </w:t>
      </w:r>
      <w:r w:rsidR="00C74324">
        <w:rPr>
          <w:rFonts w:ascii="Times New Roman" w:hAnsi="Times New Roman" w:cs="Times New Roman"/>
          <w:i/>
          <w:sz w:val="24"/>
          <w:szCs w:val="24"/>
        </w:rPr>
        <w:t>assume natura di norma temporanea</w:t>
      </w:r>
      <w:r w:rsidRPr="007616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324">
        <w:rPr>
          <w:rFonts w:ascii="Times New Roman" w:hAnsi="Times New Roman" w:cs="Times New Roman"/>
          <w:i/>
          <w:sz w:val="24"/>
          <w:szCs w:val="24"/>
        </w:rPr>
        <w:t>e</w:t>
      </w:r>
      <w:r w:rsidRPr="0076166F">
        <w:rPr>
          <w:rFonts w:ascii="Times New Roman" w:hAnsi="Times New Roman" w:cs="Times New Roman"/>
          <w:i/>
          <w:sz w:val="24"/>
          <w:szCs w:val="24"/>
        </w:rPr>
        <w:t xml:space="preserve"> la relativa disciplina si applica in ogni caso ai fatti commessi nella vigenza della normativa in materia di terre e rocce da scavo.</w:t>
      </w:r>
    </w:p>
    <w:p w:rsidR="00364498" w:rsidRDefault="00364498" w:rsidP="00534A88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>Ritenuto in fatto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 xml:space="preserve">1. Con la sentenza impugnata il tribunale di Brindisi ha affermato la colpevolezza di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DiGennaro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 xml:space="preserve"> giacomo in ordine al reato di cui all’art. 256, c. 1,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 xml:space="preserve">. a), del D.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>. n. 152/2006, a lui ascritto per avere effettuato attività di raccolta e smaltimento di rifiuti speciali non pericolosi, costituiti da materiali edili, senza la prescritta autorizzazione.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 xml:space="preserve">Si accertava in punto di fatto che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DiGennaro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 xml:space="preserve">, gestore di un impianto di distribuzione carburante Total, stava utilizzando terre e rocce da scavo per il riempimento di un terreno adiacente a detto impianto in assenza di qualsiasi autorizzazione. 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>Il giudice di merito ha affermato che il fatto accertato integra l’ipotesi di reato ascritta all’imputato e, per l’effetto, lo ha condannato alla pena di € 3.000,00 di ammenda.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>2. Avverso la sentenza ha proposto appello l’imputato, tramite il difensore, e l’impugnazione è stata trasmessa a questa Corte ai sensi dell’art. 568, ultimo comma, c.p.p.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>2.1. Con il primo mezzo di annullamento il ricorrente chiede l’assunzione quanto meno ai sensi dell’art. 530 cpv. c.p.p..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 xml:space="preserve">Previa ricostruzione del fatto mediante la citazione di risultanze testimoniali, dalle quali emerge che il materiale costituito da rocce e terre da scavo proveniva da un cantiere sito nella zona industriale di Brindisi e veniva utilizzato all’interno della stazione di servizio Total per attività di riempimento, si deduce che detto materiale doveva essere qualificato come sottoprodotto ai sensi dell’art. 184bis del D.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 xml:space="preserve"> n. 152/2006, introdotto dal D.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 xml:space="preserve"> n. 205/2010. Si osserva che le rocce e terre da scavo rispondono a tutti i criteri previsti dalla disposizione citata, da applicarsi in quanto più favorevole per l’imputato; che, peraltro, lo stesso decreto legislativo citato ha abolito l’art. 186 del D.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>. n. 152/2006, che disciplinava l’impiego delle terre e rocce da scavo.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 xml:space="preserve">In subordine, si deduce che il fatto doveva essere inquadrato nell’ipotesi dell’abbandono di rifiuti di cui all’art. 255 del D.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>. n. 152/2006, punito con sanzione amministrativa.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>2.2. Con il secondo mezzo di annullamento si chiede una congrua riduzione della pena inflitta e la sospensione condizionale della stessa, potendo l’imputato beneficiarne.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>Considerato in diritto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>1. Il ricorso non è fondato.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 xml:space="preserve">La possibilità di utilizzazione diretta delle terre e rocce da scavo, che determina ex art. 186 del D.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 xml:space="preserve"> n. 152/2006 l’esclusione della disciplina dei rifiuti, è subordinata alla prova positiva, gravante sull’imputato, della loro riutilizzazione secondo un progetto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ambientalmente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 xml:space="preserve"> compatibile. (Sez. 3, sentenza n. 37280 del 12/06/2008,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Picchioni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>. 241087)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>Non è sufficiente, quindi, che le terre e rocce non siano inquinate perché si applichi la normativa ad esse inerenti, rientrando comunque nella nozione di rifiuto se non sussistono le condizioni previste dall’art. 186 (comma 5).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 xml:space="preserve">Orbene, nel caso in esame, secondo le risultanze della sentenza impugnata, l’imputato ha affermato di essere stato in possesso di un’autorizzazione del comune di Brindisi, che però è stata revocata, </w:t>
      </w:r>
      <w:r w:rsidRPr="0076166F">
        <w:rPr>
          <w:rFonts w:ascii="Times New Roman" w:hAnsi="Times New Roman" w:cs="Times New Roman"/>
          <w:sz w:val="24"/>
          <w:szCs w:val="24"/>
        </w:rPr>
        <w:lastRenderedPageBreak/>
        <w:t>con la conseguente insussistenza dei requisiti richiesti dalla legge per sottrarre il materiale sequestrato alla disciplina dei rifiuti.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>L’affermazione del ricorrente, secondo la quale le rocce e terre da scavo rispondevano ai requisiti per il loro impiego, è di fatto e non emerge dalla sentenza, avendo, anzi, il giudice di merito affermato che si trattava di rifiuti classificabili con il codice CER 170504.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 xml:space="preserve">Quanto all’abrogazione dell’art. 186 del D.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 xml:space="preserve">. 152/2006, ai sensi dell’art. 39, c. 4, del D.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>. n. 205/2010, la stessa è destinata ad operare solo a seguito dell’entrata in vigore dei DM previsti dall’art. 184 bis del testo unico, dovendo corrispondere il sottoprodotto ai requisiti qualitativi o quantitativi stabiliti da tali provvedimenti.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 xml:space="preserve">Orbene, considerato che il citato art. 39, c. 4, del D.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 xml:space="preserve">. n. 205/2010 prevede che l’abrogazione dell’art. 186 del D.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>. n. 152/2006 opera solo a far data dall’entrata in vigore del DM in materia di sottoprodotti, il predetto art. 186 ha assunto natura di norma temporanea, con la conseguenza che, ai sensi dell’art. 2 c.p., la relativa disciplina si applica in ogni caso ai fatti commessi nella vigenza della normativa in materia di terre e rocce da scavo.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>Non sarebbe, infatti, possibile attribuire la qualifica di sottoprodotto a determinati materiali sulla base di disposizioni amministrative inesistenti all’epoca della loro produzione.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 xml:space="preserve">2. Quanto al secondo motivo di ricorso osserva la Corte che il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DiGennaro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 xml:space="preserve"> è titolare di impresa, sicché risponde in ogni caso ai sensi dell’art. 256, c. 2, del D. </w:t>
      </w:r>
      <w:proofErr w:type="spellStart"/>
      <w:r w:rsidRPr="007616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6166F">
        <w:rPr>
          <w:rFonts w:ascii="Times New Roman" w:hAnsi="Times New Roman" w:cs="Times New Roman"/>
          <w:sz w:val="24"/>
          <w:szCs w:val="24"/>
        </w:rPr>
        <w:t xml:space="preserve"> n. 152/2006, ed ha utilizzato i rifiuti effettuandone lo smaltimento, e non il mero abbandono, oltre al preventivo trasporto.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>2.1. Il secondo motivo di ricorso si esaurisce in richieste di merito, mentre la sentenza è adeguatamente motivata sia con il riferimento alla determinazione della pena che al diniego della sospensione della stessa.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  <w:r w:rsidRPr="0076166F">
        <w:rPr>
          <w:rFonts w:ascii="Times New Roman" w:hAnsi="Times New Roman" w:cs="Times New Roman"/>
          <w:sz w:val="24"/>
          <w:szCs w:val="24"/>
        </w:rPr>
        <w:t>3. Il ricorso, pertanto, deve essere rigettato con le conseguenze di legge.</w:t>
      </w:r>
    </w:p>
    <w:p w:rsidR="0076166F" w:rsidRPr="0076166F" w:rsidRDefault="0076166F" w:rsidP="00761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ECB" w:rsidRPr="00B37B33" w:rsidRDefault="007C3ECB" w:rsidP="007616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ECB" w:rsidRPr="00B37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B"/>
    <w:rsid w:val="000D4C9A"/>
    <w:rsid w:val="002D59C6"/>
    <w:rsid w:val="00364498"/>
    <w:rsid w:val="00534A88"/>
    <w:rsid w:val="00642C79"/>
    <w:rsid w:val="006A0E2D"/>
    <w:rsid w:val="0076166F"/>
    <w:rsid w:val="007C3ECB"/>
    <w:rsid w:val="00AF1BD8"/>
    <w:rsid w:val="00B37B33"/>
    <w:rsid w:val="00C56D01"/>
    <w:rsid w:val="00C74324"/>
    <w:rsid w:val="00D50164"/>
    <w:rsid w:val="00D629EA"/>
    <w:rsid w:val="00EF27A1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Fummi</dc:creator>
  <cp:lastModifiedBy>Monica</cp:lastModifiedBy>
  <cp:revision>2</cp:revision>
  <dcterms:created xsi:type="dcterms:W3CDTF">2012-09-26T08:33:00Z</dcterms:created>
  <dcterms:modified xsi:type="dcterms:W3CDTF">2012-09-26T08:33:00Z</dcterms:modified>
</cp:coreProperties>
</file>