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85F" w:rsidRPr="004A385F" w:rsidRDefault="004A385F" w:rsidP="004A385F">
      <w:pPr>
        <w:spacing w:after="0" w:line="240" w:lineRule="auto"/>
        <w:jc w:val="both"/>
        <w:rPr>
          <w:rFonts w:ascii="Times New Roman" w:hAnsi="Times New Roman" w:cs="Times New Roman"/>
          <w:b/>
          <w:sz w:val="24"/>
          <w:szCs w:val="24"/>
        </w:rPr>
      </w:pPr>
      <w:bookmarkStart w:id="0" w:name="_GoBack"/>
      <w:proofErr w:type="spellStart"/>
      <w:r w:rsidRPr="004A385F">
        <w:rPr>
          <w:rFonts w:ascii="Times New Roman" w:hAnsi="Times New Roman" w:cs="Times New Roman"/>
          <w:b/>
          <w:sz w:val="24"/>
          <w:szCs w:val="24"/>
        </w:rPr>
        <w:t>Cass</w:t>
      </w:r>
      <w:proofErr w:type="spellEnd"/>
      <w:r w:rsidRPr="004A385F">
        <w:rPr>
          <w:rFonts w:ascii="Times New Roman" w:hAnsi="Times New Roman" w:cs="Times New Roman"/>
          <w:b/>
          <w:sz w:val="24"/>
          <w:szCs w:val="24"/>
        </w:rPr>
        <w:t xml:space="preserve">. </w:t>
      </w:r>
      <w:r w:rsidRPr="004A385F">
        <w:rPr>
          <w:rFonts w:ascii="Times New Roman" w:hAnsi="Times New Roman" w:cs="Times New Roman"/>
          <w:b/>
          <w:sz w:val="24"/>
          <w:szCs w:val="24"/>
        </w:rPr>
        <w:t>Pen</w:t>
      </w:r>
      <w:r w:rsidRPr="004A385F">
        <w:rPr>
          <w:rFonts w:ascii="Times New Roman" w:hAnsi="Times New Roman" w:cs="Times New Roman"/>
          <w:b/>
          <w:sz w:val="24"/>
          <w:szCs w:val="24"/>
        </w:rPr>
        <w:t>.</w:t>
      </w:r>
      <w:r w:rsidRPr="004A385F">
        <w:rPr>
          <w:rFonts w:ascii="Times New Roman" w:hAnsi="Times New Roman" w:cs="Times New Roman"/>
          <w:b/>
          <w:sz w:val="24"/>
          <w:szCs w:val="24"/>
        </w:rPr>
        <w:t xml:space="preserve">, </w:t>
      </w:r>
      <w:r w:rsidRPr="004A385F">
        <w:rPr>
          <w:rFonts w:ascii="Times New Roman" w:hAnsi="Times New Roman" w:cs="Times New Roman"/>
          <w:b/>
          <w:sz w:val="24"/>
          <w:szCs w:val="24"/>
        </w:rPr>
        <w:t>n. 21032</w:t>
      </w:r>
      <w:r w:rsidRPr="004A385F">
        <w:rPr>
          <w:rFonts w:ascii="Times New Roman" w:hAnsi="Times New Roman" w:cs="Times New Roman"/>
          <w:b/>
          <w:sz w:val="24"/>
          <w:szCs w:val="24"/>
        </w:rPr>
        <w:t xml:space="preserve"> del </w:t>
      </w:r>
      <w:r w:rsidRPr="004A385F">
        <w:rPr>
          <w:rFonts w:ascii="Times New Roman" w:hAnsi="Times New Roman" w:cs="Times New Roman"/>
          <w:b/>
          <w:sz w:val="24"/>
          <w:szCs w:val="24"/>
        </w:rPr>
        <w:t>31</w:t>
      </w:r>
      <w:r w:rsidRPr="004A385F">
        <w:rPr>
          <w:rFonts w:ascii="Times New Roman" w:hAnsi="Times New Roman" w:cs="Times New Roman"/>
          <w:b/>
          <w:sz w:val="24"/>
          <w:szCs w:val="24"/>
        </w:rPr>
        <w:t>/</w:t>
      </w:r>
      <w:r w:rsidRPr="004A385F">
        <w:rPr>
          <w:rFonts w:ascii="Times New Roman" w:hAnsi="Times New Roman" w:cs="Times New Roman"/>
          <w:b/>
          <w:sz w:val="24"/>
          <w:szCs w:val="24"/>
        </w:rPr>
        <w:t>05</w:t>
      </w:r>
      <w:r w:rsidRPr="004A385F">
        <w:rPr>
          <w:rFonts w:ascii="Times New Roman" w:hAnsi="Times New Roman" w:cs="Times New Roman"/>
          <w:b/>
          <w:sz w:val="24"/>
          <w:szCs w:val="24"/>
        </w:rPr>
        <w:t>/</w:t>
      </w:r>
      <w:r w:rsidRPr="004A385F">
        <w:rPr>
          <w:rFonts w:ascii="Times New Roman" w:hAnsi="Times New Roman" w:cs="Times New Roman"/>
          <w:b/>
          <w:sz w:val="24"/>
          <w:szCs w:val="24"/>
        </w:rPr>
        <w:t>2012</w:t>
      </w:r>
      <w:r w:rsidRPr="004A385F">
        <w:rPr>
          <w:rFonts w:ascii="Times New Roman" w:hAnsi="Times New Roman" w:cs="Times New Roman"/>
          <w:b/>
          <w:sz w:val="24"/>
          <w:szCs w:val="24"/>
        </w:rPr>
        <w:t xml:space="preserve"> – </w:t>
      </w:r>
      <w:proofErr w:type="spellStart"/>
      <w:r w:rsidRPr="004A385F">
        <w:rPr>
          <w:rFonts w:ascii="Times New Roman" w:hAnsi="Times New Roman" w:cs="Times New Roman"/>
          <w:b/>
          <w:sz w:val="24"/>
          <w:szCs w:val="24"/>
        </w:rPr>
        <w:t>Pres</w:t>
      </w:r>
      <w:proofErr w:type="spellEnd"/>
      <w:r w:rsidRPr="004A385F">
        <w:rPr>
          <w:rFonts w:ascii="Times New Roman" w:hAnsi="Times New Roman" w:cs="Times New Roman"/>
          <w:b/>
          <w:sz w:val="24"/>
          <w:szCs w:val="24"/>
        </w:rPr>
        <w:t>.</w:t>
      </w:r>
      <w:r w:rsidRPr="004A385F">
        <w:rPr>
          <w:rFonts w:ascii="Times New Roman" w:hAnsi="Times New Roman" w:cs="Times New Roman"/>
          <w:b/>
          <w:sz w:val="24"/>
          <w:szCs w:val="24"/>
        </w:rPr>
        <w:t xml:space="preserve"> </w:t>
      </w:r>
      <w:r w:rsidRPr="004A385F">
        <w:rPr>
          <w:rFonts w:ascii="Times New Roman" w:hAnsi="Times New Roman" w:cs="Times New Roman"/>
          <w:b/>
          <w:sz w:val="24"/>
          <w:szCs w:val="24"/>
        </w:rPr>
        <w:t xml:space="preserve">Mannino – </w:t>
      </w:r>
      <w:proofErr w:type="spellStart"/>
      <w:r w:rsidRPr="004A385F">
        <w:rPr>
          <w:rFonts w:ascii="Times New Roman" w:hAnsi="Times New Roman" w:cs="Times New Roman"/>
          <w:b/>
          <w:sz w:val="24"/>
          <w:szCs w:val="24"/>
        </w:rPr>
        <w:t>Rel</w:t>
      </w:r>
      <w:proofErr w:type="spellEnd"/>
      <w:r w:rsidRPr="004A385F">
        <w:rPr>
          <w:rFonts w:ascii="Times New Roman" w:hAnsi="Times New Roman" w:cs="Times New Roman"/>
          <w:b/>
          <w:sz w:val="24"/>
          <w:szCs w:val="24"/>
        </w:rPr>
        <w:t>.</w:t>
      </w:r>
      <w:r w:rsidRPr="004A385F">
        <w:rPr>
          <w:rFonts w:ascii="Times New Roman" w:hAnsi="Times New Roman" w:cs="Times New Roman"/>
          <w:b/>
          <w:sz w:val="24"/>
          <w:szCs w:val="24"/>
        </w:rPr>
        <w:t xml:space="preserve"> </w:t>
      </w:r>
      <w:r w:rsidRPr="004A385F">
        <w:rPr>
          <w:rFonts w:ascii="Times New Roman" w:hAnsi="Times New Roman" w:cs="Times New Roman"/>
          <w:b/>
          <w:sz w:val="24"/>
          <w:szCs w:val="24"/>
        </w:rPr>
        <w:t xml:space="preserve">Lombardi – Ric. </w:t>
      </w:r>
      <w:r w:rsidRPr="004A385F">
        <w:rPr>
          <w:rFonts w:ascii="Times New Roman" w:hAnsi="Times New Roman" w:cs="Times New Roman"/>
          <w:b/>
          <w:sz w:val="24"/>
          <w:szCs w:val="24"/>
        </w:rPr>
        <w:t>F.V.</w:t>
      </w:r>
      <w:r w:rsidRPr="004A385F">
        <w:rPr>
          <w:rFonts w:ascii="Times New Roman" w:hAnsi="Times New Roman" w:cs="Times New Roman"/>
          <w:b/>
          <w:sz w:val="24"/>
          <w:szCs w:val="24"/>
        </w:rPr>
        <w:t xml:space="preserve"> e a.</w:t>
      </w:r>
    </w:p>
    <w:p w:rsidR="004A385F" w:rsidRDefault="004A385F" w:rsidP="004A385F">
      <w:pPr>
        <w:spacing w:after="0" w:line="240" w:lineRule="auto"/>
        <w:jc w:val="both"/>
        <w:rPr>
          <w:rFonts w:ascii="Times New Roman" w:hAnsi="Times New Roman" w:cs="Times New Roman"/>
          <w:sz w:val="24"/>
          <w:szCs w:val="24"/>
        </w:rPr>
      </w:pPr>
    </w:p>
    <w:p w:rsidR="004A385F" w:rsidRDefault="004A385F" w:rsidP="004A385F">
      <w:pPr>
        <w:spacing w:after="0" w:line="240" w:lineRule="auto"/>
        <w:rPr>
          <w:rFonts w:ascii="Times New Roman" w:hAnsi="Times New Roman" w:cs="Times New Roman"/>
          <w:sz w:val="24"/>
          <w:szCs w:val="24"/>
        </w:rPr>
      </w:pPr>
      <w:r w:rsidRPr="004A385F">
        <w:rPr>
          <w:rFonts w:ascii="Times New Roman" w:hAnsi="Times New Roman" w:cs="Times New Roman"/>
          <w:b/>
          <w:sz w:val="24"/>
          <w:szCs w:val="24"/>
        </w:rPr>
        <w:t>Rifiuti</w:t>
      </w:r>
      <w:r>
        <w:rPr>
          <w:rFonts w:ascii="Times New Roman" w:hAnsi="Times New Roman" w:cs="Times New Roman"/>
          <w:sz w:val="24"/>
          <w:szCs w:val="24"/>
        </w:rPr>
        <w:t xml:space="preserve"> - Deposito temporaneo – Luogo di produzione – Collegamento funzionale - Necessità</w:t>
      </w:r>
    </w:p>
    <w:p w:rsidR="004A385F" w:rsidRPr="004A385F" w:rsidRDefault="004A385F" w:rsidP="004A385F">
      <w:pPr>
        <w:spacing w:after="0" w:line="240" w:lineRule="auto"/>
        <w:jc w:val="both"/>
        <w:rPr>
          <w:rFonts w:ascii="Times New Roman" w:hAnsi="Times New Roman" w:cs="Times New Roman"/>
          <w:i/>
          <w:sz w:val="24"/>
          <w:szCs w:val="24"/>
        </w:rPr>
      </w:pPr>
      <w:r w:rsidRPr="004A385F">
        <w:rPr>
          <w:rFonts w:ascii="Times New Roman" w:hAnsi="Times New Roman" w:cs="Times New Roman"/>
          <w:i/>
          <w:sz w:val="24"/>
          <w:szCs w:val="24"/>
        </w:rPr>
        <w:t xml:space="preserve">Ai fini della legittimità del </w:t>
      </w:r>
      <w:r w:rsidRPr="004A385F">
        <w:rPr>
          <w:rFonts w:ascii="Times New Roman" w:hAnsi="Times New Roman" w:cs="Times New Roman"/>
          <w:i/>
          <w:sz w:val="24"/>
          <w:szCs w:val="24"/>
        </w:rPr>
        <w:t xml:space="preserve">deposito temporaneo </w:t>
      </w:r>
      <w:r w:rsidRPr="004A385F">
        <w:rPr>
          <w:rFonts w:ascii="Times New Roman" w:hAnsi="Times New Roman" w:cs="Times New Roman"/>
          <w:i/>
          <w:sz w:val="24"/>
          <w:szCs w:val="24"/>
        </w:rPr>
        <w:t xml:space="preserve">occorre che </w:t>
      </w:r>
      <w:r w:rsidRPr="004A385F">
        <w:rPr>
          <w:rFonts w:ascii="Times New Roman" w:hAnsi="Times New Roman" w:cs="Times New Roman"/>
          <w:i/>
          <w:sz w:val="24"/>
          <w:szCs w:val="24"/>
        </w:rPr>
        <w:t>il luogo di deposito sia nella disponibilità dell'impresa produttrice dei rifiuti e funzionalmente collegato a quello di produzione</w:t>
      </w:r>
      <w:r>
        <w:rPr>
          <w:rFonts w:ascii="Times New Roman" w:hAnsi="Times New Roman" w:cs="Times New Roman"/>
          <w:i/>
          <w:sz w:val="24"/>
          <w:szCs w:val="24"/>
        </w:rPr>
        <w:t>.</w:t>
      </w:r>
      <w:r w:rsidRPr="004A385F">
        <w:rPr>
          <w:rFonts w:ascii="Times New Roman" w:hAnsi="Times New Roman" w:cs="Times New Roman"/>
          <w:i/>
          <w:sz w:val="24"/>
          <w:szCs w:val="24"/>
        </w:rPr>
        <w:t xml:space="preserve"> (In applicazione di tale principio la Corte ha ritenuto illegittimo – con conseguente integrazione del reato di abbandono di rifiuti di cui all’art. 256, c. 2, TUA - il deposito realizzato in un terreno distante 700 m dal luogo in cui i rifiuti erano stati effettivamente prodotti)</w:t>
      </w:r>
      <w:r>
        <w:rPr>
          <w:rFonts w:ascii="Times New Roman" w:hAnsi="Times New Roman" w:cs="Times New Roman"/>
          <w:i/>
          <w:sz w:val="24"/>
          <w:szCs w:val="24"/>
        </w:rPr>
        <w:t>.</w:t>
      </w:r>
    </w:p>
    <w:bookmarkEnd w:id="0"/>
    <w:p w:rsidR="004A385F" w:rsidRDefault="004A385F" w:rsidP="004A385F">
      <w:pPr>
        <w:spacing w:after="0" w:line="240" w:lineRule="auto"/>
        <w:jc w:val="both"/>
        <w:rPr>
          <w:rFonts w:ascii="Times New Roman" w:hAnsi="Times New Roman" w:cs="Times New Roman"/>
          <w:sz w:val="24"/>
          <w:szCs w:val="24"/>
        </w:rPr>
      </w:pPr>
    </w:p>
    <w:p w:rsidR="004A385F" w:rsidRDefault="004A385F" w:rsidP="004A385F">
      <w:pPr>
        <w:spacing w:after="0" w:line="240" w:lineRule="auto"/>
        <w:jc w:val="both"/>
        <w:rPr>
          <w:rFonts w:ascii="Times New Roman" w:hAnsi="Times New Roman" w:cs="Times New Roman"/>
          <w:sz w:val="24"/>
          <w:szCs w:val="24"/>
        </w:rPr>
      </w:pPr>
    </w:p>
    <w:p w:rsidR="004A385F" w:rsidRPr="004A385F" w:rsidRDefault="004A385F" w:rsidP="004A385F">
      <w:pPr>
        <w:spacing w:after="0" w:line="240" w:lineRule="auto"/>
        <w:jc w:val="both"/>
        <w:rPr>
          <w:rFonts w:ascii="Times New Roman" w:hAnsi="Times New Roman" w:cs="Times New Roman"/>
          <w:sz w:val="24"/>
          <w:szCs w:val="24"/>
        </w:rPr>
      </w:pPr>
      <w:r w:rsidRPr="004A385F">
        <w:rPr>
          <w:rFonts w:ascii="Times New Roman" w:hAnsi="Times New Roman" w:cs="Times New Roman"/>
          <w:sz w:val="24"/>
          <w:szCs w:val="24"/>
        </w:rPr>
        <w:t>Svolgimento del processo</w:t>
      </w:r>
    </w:p>
    <w:p w:rsidR="004A385F" w:rsidRPr="004A385F" w:rsidRDefault="004A385F" w:rsidP="004A385F">
      <w:pPr>
        <w:spacing w:after="0" w:line="240" w:lineRule="auto"/>
        <w:jc w:val="both"/>
        <w:rPr>
          <w:rFonts w:ascii="Times New Roman" w:hAnsi="Times New Roman" w:cs="Times New Roman"/>
          <w:sz w:val="24"/>
          <w:szCs w:val="24"/>
        </w:rPr>
      </w:pPr>
      <w:r w:rsidRPr="004A385F">
        <w:rPr>
          <w:rFonts w:ascii="Times New Roman" w:hAnsi="Times New Roman" w:cs="Times New Roman"/>
          <w:sz w:val="24"/>
          <w:szCs w:val="24"/>
        </w:rPr>
        <w:t xml:space="preserve">1. Con la sentenza impugnata la Corte di appello di Potenza ha confermato la dichiarazione di colpevolezza di F.V., </w:t>
      </w:r>
      <w:proofErr w:type="spellStart"/>
      <w:r w:rsidRPr="004A385F">
        <w:rPr>
          <w:rFonts w:ascii="Times New Roman" w:hAnsi="Times New Roman" w:cs="Times New Roman"/>
          <w:sz w:val="24"/>
          <w:szCs w:val="24"/>
        </w:rPr>
        <w:t>Fi.Se</w:t>
      </w:r>
      <w:proofErr w:type="spellEnd"/>
      <w:r w:rsidRPr="004A385F">
        <w:rPr>
          <w:rFonts w:ascii="Times New Roman" w:hAnsi="Times New Roman" w:cs="Times New Roman"/>
          <w:sz w:val="24"/>
          <w:szCs w:val="24"/>
        </w:rPr>
        <w:t xml:space="preserve">. e C.V. in ordine al reato: B) di cui agli artt. 81 cpv. e 110 c.p., D.Lgs. n. 152 del 2006, art. 256, comma 2, e del </w:t>
      </w:r>
      <w:proofErr w:type="spellStart"/>
      <w:r w:rsidRPr="004A385F">
        <w:rPr>
          <w:rFonts w:ascii="Times New Roman" w:hAnsi="Times New Roman" w:cs="Times New Roman"/>
          <w:sz w:val="24"/>
          <w:szCs w:val="24"/>
        </w:rPr>
        <w:t>D.Lgs</w:t>
      </w:r>
      <w:proofErr w:type="spellEnd"/>
      <w:r w:rsidRPr="004A385F">
        <w:rPr>
          <w:rFonts w:ascii="Times New Roman" w:hAnsi="Times New Roman" w:cs="Times New Roman"/>
          <w:sz w:val="24"/>
          <w:szCs w:val="24"/>
        </w:rPr>
        <w:t xml:space="preserve"> n. 42 del 2004, art. 181, loro scritto per avere, nella rispettiva qualità il F. di rappresentante legale società Dinamica Costruzioni S.r.l., il Fi. ed il C. di dipendenti della predetta azienda, subappaltatrice per l'esecuzione di lavori commissionati dall'Acquedotto Lucano, abbandonato rifiuti speciali, non pericolosi, costituiti dal materiale di risulta dei lavori di rifacimento dell'impianto fognario del centro urbano di (OMISSIS) in un'area sottoposta a vincolo paesaggistico, senza le prescritte autorizzazioni.</w:t>
      </w:r>
    </w:p>
    <w:p w:rsidR="004A385F" w:rsidRPr="004A385F" w:rsidRDefault="004A385F" w:rsidP="004A385F">
      <w:pPr>
        <w:spacing w:after="0" w:line="240" w:lineRule="auto"/>
        <w:jc w:val="both"/>
        <w:rPr>
          <w:rFonts w:ascii="Times New Roman" w:hAnsi="Times New Roman" w:cs="Times New Roman"/>
          <w:sz w:val="24"/>
          <w:szCs w:val="24"/>
        </w:rPr>
      </w:pPr>
      <w:r w:rsidRPr="004A385F">
        <w:rPr>
          <w:rFonts w:ascii="Times New Roman" w:hAnsi="Times New Roman" w:cs="Times New Roman"/>
          <w:sz w:val="24"/>
          <w:szCs w:val="24"/>
        </w:rPr>
        <w:t>La Corte territoriale ha rigettato i motivi di gravame con i quali gli appellanti, tra l'altro, avevano contestato la configurabilità dei reati, deducendo che non si era verificata un'ipotesi di abbandono di rifiuti, bensì di deposito temporaneo degli stessi, e l'inesistenza di un pregiudizio per i valori paesaggistici.</w:t>
      </w:r>
    </w:p>
    <w:p w:rsidR="004A385F" w:rsidRPr="004A385F" w:rsidRDefault="004A385F" w:rsidP="004A385F">
      <w:pPr>
        <w:spacing w:after="0" w:line="240" w:lineRule="auto"/>
        <w:jc w:val="both"/>
        <w:rPr>
          <w:rFonts w:ascii="Times New Roman" w:hAnsi="Times New Roman" w:cs="Times New Roman"/>
          <w:sz w:val="24"/>
          <w:szCs w:val="24"/>
        </w:rPr>
      </w:pPr>
      <w:r w:rsidRPr="004A385F">
        <w:rPr>
          <w:rFonts w:ascii="Times New Roman" w:hAnsi="Times New Roman" w:cs="Times New Roman"/>
          <w:sz w:val="24"/>
          <w:szCs w:val="24"/>
        </w:rPr>
        <w:t>2. Avverso la sentenza hanno proposto ricorsi i difensori degli imputati, che la denunciano per violazione di legge e vizi di motivazione.</w:t>
      </w:r>
    </w:p>
    <w:p w:rsidR="004A385F" w:rsidRPr="004A385F" w:rsidRDefault="004A385F" w:rsidP="004A385F">
      <w:pPr>
        <w:spacing w:after="0" w:line="240" w:lineRule="auto"/>
        <w:jc w:val="both"/>
        <w:rPr>
          <w:rFonts w:ascii="Times New Roman" w:hAnsi="Times New Roman" w:cs="Times New Roman"/>
          <w:sz w:val="24"/>
          <w:szCs w:val="24"/>
        </w:rPr>
      </w:pPr>
      <w:r w:rsidRPr="004A385F">
        <w:rPr>
          <w:rFonts w:ascii="Times New Roman" w:hAnsi="Times New Roman" w:cs="Times New Roman"/>
          <w:sz w:val="24"/>
          <w:szCs w:val="24"/>
        </w:rPr>
        <w:t>2.1. Con un unico mezzo di annullamento il difensore del F. denuncia la violazione ed errata applicazione del D.Lgs. n. 152 del 2006, art. 256, comma 2.</w:t>
      </w:r>
    </w:p>
    <w:p w:rsidR="004A385F" w:rsidRPr="004A385F" w:rsidRDefault="004A385F" w:rsidP="004A385F">
      <w:pPr>
        <w:spacing w:after="0" w:line="240" w:lineRule="auto"/>
        <w:jc w:val="both"/>
        <w:rPr>
          <w:rFonts w:ascii="Times New Roman" w:hAnsi="Times New Roman" w:cs="Times New Roman"/>
          <w:sz w:val="24"/>
          <w:szCs w:val="24"/>
        </w:rPr>
      </w:pPr>
      <w:r w:rsidRPr="004A385F">
        <w:rPr>
          <w:rFonts w:ascii="Times New Roman" w:hAnsi="Times New Roman" w:cs="Times New Roman"/>
          <w:sz w:val="24"/>
          <w:szCs w:val="24"/>
        </w:rPr>
        <w:t xml:space="preserve">Con il mezzo di annullamento si ripropone la tesi della configurabilità del deposito temporaneo di rifiuti ai sensi del D.Lgs. n. 152 del 2006, art. 183, </w:t>
      </w:r>
      <w:proofErr w:type="spellStart"/>
      <w:r w:rsidRPr="004A385F">
        <w:rPr>
          <w:rFonts w:ascii="Times New Roman" w:hAnsi="Times New Roman" w:cs="Times New Roman"/>
          <w:sz w:val="24"/>
          <w:szCs w:val="24"/>
        </w:rPr>
        <w:t>lett</w:t>
      </w:r>
      <w:proofErr w:type="spellEnd"/>
      <w:r w:rsidRPr="004A385F">
        <w:rPr>
          <w:rFonts w:ascii="Times New Roman" w:hAnsi="Times New Roman" w:cs="Times New Roman"/>
          <w:sz w:val="24"/>
          <w:szCs w:val="24"/>
        </w:rPr>
        <w:t>. m). Sul punto si contesta il rilievo contenuto nella sentenza impugnata, secondo il quale i rifiuti sono stati scaricati su un terreno distante 700 metri dal luogo dello scavo e, quindi, non nel luogo di produzione degli stessi. Si osserva che il luogo di produzione dei rifiuti è non solo quello in cui gli stessi sono prodotti, ma anche quello nella disponibilità della impresa produttrice funzionalmente collegato a quello di produzione. Nel caso in esame inoltre i rifiuti appartenevano ad una categoria omogenea e non risultano violate le altre prescrizioni in materia di deposito temporaneo.</w:t>
      </w:r>
    </w:p>
    <w:p w:rsidR="004A385F" w:rsidRPr="004A385F" w:rsidRDefault="004A385F" w:rsidP="004A385F">
      <w:pPr>
        <w:spacing w:after="0" w:line="240" w:lineRule="auto"/>
        <w:jc w:val="both"/>
        <w:rPr>
          <w:rFonts w:ascii="Times New Roman" w:hAnsi="Times New Roman" w:cs="Times New Roman"/>
          <w:sz w:val="24"/>
          <w:szCs w:val="24"/>
        </w:rPr>
      </w:pPr>
      <w:r w:rsidRPr="004A385F">
        <w:rPr>
          <w:rFonts w:ascii="Times New Roman" w:hAnsi="Times New Roman" w:cs="Times New Roman"/>
          <w:sz w:val="24"/>
          <w:szCs w:val="24"/>
        </w:rPr>
        <w:t>2.2. Con un unico, articolato, mezzo di annullamento il difensore del Fi. e del C. denuncia l'erronea applicazione dei D.Lgs. n. 152 del 2006, D.Lgs. n. 42 del 2004, dell'art. 157 c.p. e art. 129 c.p.p..</w:t>
      </w:r>
    </w:p>
    <w:p w:rsidR="004A385F" w:rsidRPr="004A385F" w:rsidRDefault="004A385F" w:rsidP="004A385F">
      <w:pPr>
        <w:spacing w:after="0" w:line="240" w:lineRule="auto"/>
        <w:jc w:val="both"/>
        <w:rPr>
          <w:rFonts w:ascii="Times New Roman" w:hAnsi="Times New Roman" w:cs="Times New Roman"/>
          <w:sz w:val="24"/>
          <w:szCs w:val="24"/>
        </w:rPr>
      </w:pPr>
      <w:r w:rsidRPr="004A385F">
        <w:rPr>
          <w:rFonts w:ascii="Times New Roman" w:hAnsi="Times New Roman" w:cs="Times New Roman"/>
          <w:sz w:val="24"/>
          <w:szCs w:val="24"/>
        </w:rPr>
        <w:t>Con riferimento alla violazione di cui al D.Lgs. n. 42 del 2004, art. 181 si deduce che nel caso in esame non risulta acclarato quale sia il pregiudizio per i valori paesaggistici oggetto di protezione.</w:t>
      </w:r>
    </w:p>
    <w:p w:rsidR="004A385F" w:rsidRDefault="004A385F" w:rsidP="004A385F">
      <w:pPr>
        <w:spacing w:after="0" w:line="240" w:lineRule="auto"/>
        <w:jc w:val="both"/>
        <w:rPr>
          <w:rFonts w:ascii="Times New Roman" w:hAnsi="Times New Roman" w:cs="Times New Roman"/>
          <w:sz w:val="24"/>
          <w:szCs w:val="24"/>
        </w:rPr>
      </w:pPr>
      <w:r w:rsidRPr="004A385F">
        <w:rPr>
          <w:rFonts w:ascii="Times New Roman" w:hAnsi="Times New Roman" w:cs="Times New Roman"/>
          <w:sz w:val="24"/>
          <w:szCs w:val="24"/>
        </w:rPr>
        <w:t>Nella specie, invece, ci troviamo di fronte a reati di "lesione" che come elemento costitutivo prevedono che il fatto produca una modificazione dello stato dei luoghi, che comporti un pregiudizio del bene protetto dalla legge.</w:t>
      </w:r>
    </w:p>
    <w:p w:rsidR="004A385F" w:rsidRPr="004A385F" w:rsidRDefault="004A385F" w:rsidP="004A385F">
      <w:pPr>
        <w:spacing w:after="0" w:line="240" w:lineRule="auto"/>
        <w:jc w:val="both"/>
        <w:rPr>
          <w:rFonts w:ascii="Times New Roman" w:hAnsi="Times New Roman" w:cs="Times New Roman"/>
          <w:sz w:val="24"/>
          <w:szCs w:val="24"/>
        </w:rPr>
      </w:pPr>
      <w:r w:rsidRPr="004A385F">
        <w:rPr>
          <w:rFonts w:ascii="Times New Roman" w:hAnsi="Times New Roman" w:cs="Times New Roman"/>
          <w:sz w:val="24"/>
          <w:szCs w:val="24"/>
        </w:rPr>
        <w:t>Con riferimento alla violazione di cui al D.Lgs. n. 152 del 2006, art. 256, comma 2, anche i ricorrenti sostengono la tesi del deposito temporaneo di rifiuti, deducendo che non risulta accertato, n</w:t>
      </w:r>
      <w:r>
        <w:rPr>
          <w:rFonts w:ascii="Times New Roman" w:hAnsi="Times New Roman" w:cs="Times New Roman"/>
          <w:sz w:val="24"/>
          <w:szCs w:val="24"/>
        </w:rPr>
        <w:t>é</w:t>
      </w:r>
      <w:r w:rsidRPr="004A385F">
        <w:rPr>
          <w:rFonts w:ascii="Times New Roman" w:hAnsi="Times New Roman" w:cs="Times New Roman"/>
          <w:sz w:val="24"/>
          <w:szCs w:val="24"/>
        </w:rPr>
        <w:t xml:space="preserve"> l'effettivo quantitativo dei materiali depositati, n</w:t>
      </w:r>
      <w:r>
        <w:rPr>
          <w:rFonts w:ascii="Times New Roman" w:hAnsi="Times New Roman" w:cs="Times New Roman"/>
          <w:sz w:val="24"/>
          <w:szCs w:val="24"/>
        </w:rPr>
        <w:t>é</w:t>
      </w:r>
      <w:r w:rsidRPr="004A385F">
        <w:rPr>
          <w:rFonts w:ascii="Times New Roman" w:hAnsi="Times New Roman" w:cs="Times New Roman"/>
          <w:sz w:val="24"/>
          <w:szCs w:val="24"/>
        </w:rPr>
        <w:t xml:space="preserve"> il periodo di tempo decorso dal loro deposito per inferirne che il fatto rientra nei parametri dell'Ipotesi alternativa prevista dall'art. 183 circa le operazioni di successivo smaltimento dei rifiuti depositati.</w:t>
      </w:r>
    </w:p>
    <w:p w:rsidR="004A385F" w:rsidRPr="004A385F" w:rsidRDefault="004A385F" w:rsidP="004A385F">
      <w:pPr>
        <w:spacing w:after="0" w:line="240" w:lineRule="auto"/>
        <w:jc w:val="both"/>
        <w:rPr>
          <w:rFonts w:ascii="Times New Roman" w:hAnsi="Times New Roman" w:cs="Times New Roman"/>
          <w:sz w:val="24"/>
          <w:szCs w:val="24"/>
        </w:rPr>
      </w:pPr>
      <w:r w:rsidRPr="004A385F">
        <w:rPr>
          <w:rFonts w:ascii="Times New Roman" w:hAnsi="Times New Roman" w:cs="Times New Roman"/>
          <w:sz w:val="24"/>
          <w:szCs w:val="24"/>
        </w:rPr>
        <w:t>Inoltre il materiale derivante dallo scavo è stato depositato nelle immediate vicinanze del luogo di produzione, non potendo essere lasciato sulla via principale del paese ove erano eseguiti i lavori.</w:t>
      </w:r>
    </w:p>
    <w:p w:rsidR="004A385F" w:rsidRPr="004A385F" w:rsidRDefault="004A385F" w:rsidP="004A385F">
      <w:pPr>
        <w:spacing w:after="0" w:line="240" w:lineRule="auto"/>
        <w:jc w:val="both"/>
        <w:rPr>
          <w:rFonts w:ascii="Times New Roman" w:hAnsi="Times New Roman" w:cs="Times New Roman"/>
          <w:sz w:val="24"/>
          <w:szCs w:val="24"/>
        </w:rPr>
      </w:pPr>
      <w:r w:rsidRPr="004A385F">
        <w:rPr>
          <w:rFonts w:ascii="Times New Roman" w:hAnsi="Times New Roman" w:cs="Times New Roman"/>
          <w:sz w:val="24"/>
          <w:szCs w:val="24"/>
        </w:rPr>
        <w:t>Si denuncia infine la mancata declaratoria di prescrizione dei reati che si sarebbe verificata ai sensi dell'art. 157 c.p. il (OMISSIS), prima della pronuncia della Corte territoriale.</w:t>
      </w:r>
    </w:p>
    <w:p w:rsidR="004A385F" w:rsidRPr="004A385F" w:rsidRDefault="004A385F" w:rsidP="004A385F">
      <w:pPr>
        <w:spacing w:after="0" w:line="240" w:lineRule="auto"/>
        <w:jc w:val="both"/>
        <w:rPr>
          <w:rFonts w:ascii="Times New Roman" w:hAnsi="Times New Roman" w:cs="Times New Roman"/>
          <w:sz w:val="24"/>
          <w:szCs w:val="24"/>
        </w:rPr>
      </w:pPr>
    </w:p>
    <w:p w:rsidR="004A385F" w:rsidRPr="004A385F" w:rsidRDefault="004A385F" w:rsidP="004A385F">
      <w:pPr>
        <w:spacing w:after="0" w:line="240" w:lineRule="auto"/>
        <w:jc w:val="both"/>
        <w:rPr>
          <w:rFonts w:ascii="Times New Roman" w:hAnsi="Times New Roman" w:cs="Times New Roman"/>
          <w:sz w:val="24"/>
          <w:szCs w:val="24"/>
        </w:rPr>
      </w:pPr>
      <w:r w:rsidRPr="004A385F">
        <w:rPr>
          <w:rFonts w:ascii="Times New Roman" w:hAnsi="Times New Roman" w:cs="Times New Roman"/>
          <w:sz w:val="24"/>
          <w:szCs w:val="24"/>
        </w:rPr>
        <w:t>Motivi della decisione</w:t>
      </w:r>
    </w:p>
    <w:p w:rsidR="004A385F" w:rsidRPr="004A385F" w:rsidRDefault="004A385F" w:rsidP="004A385F">
      <w:pPr>
        <w:spacing w:after="0" w:line="240" w:lineRule="auto"/>
        <w:jc w:val="both"/>
        <w:rPr>
          <w:rFonts w:ascii="Times New Roman" w:hAnsi="Times New Roman" w:cs="Times New Roman"/>
          <w:sz w:val="24"/>
          <w:szCs w:val="24"/>
        </w:rPr>
      </w:pPr>
      <w:r w:rsidRPr="004A385F">
        <w:rPr>
          <w:rFonts w:ascii="Times New Roman" w:hAnsi="Times New Roman" w:cs="Times New Roman"/>
          <w:sz w:val="24"/>
          <w:szCs w:val="24"/>
        </w:rPr>
        <w:t>1. I ricorsi sono manifestamente infondati.</w:t>
      </w:r>
    </w:p>
    <w:p w:rsidR="004A385F" w:rsidRPr="004A385F" w:rsidRDefault="004A385F" w:rsidP="004A385F">
      <w:pPr>
        <w:spacing w:after="0" w:line="240" w:lineRule="auto"/>
        <w:jc w:val="both"/>
        <w:rPr>
          <w:rFonts w:ascii="Times New Roman" w:hAnsi="Times New Roman" w:cs="Times New Roman"/>
          <w:sz w:val="24"/>
          <w:szCs w:val="24"/>
        </w:rPr>
      </w:pPr>
      <w:r w:rsidRPr="004A385F">
        <w:rPr>
          <w:rFonts w:ascii="Times New Roman" w:hAnsi="Times New Roman" w:cs="Times New Roman"/>
          <w:sz w:val="24"/>
          <w:szCs w:val="24"/>
        </w:rPr>
        <w:t>Le questioni dedotte con i motivi di gravame sono già state proposte dinanzi ai giudici di merito e vengono riproposte nei ricorsi sostanzialmente negli stessi termini senza tener conto della motivazione giuridicamente corretta della sentenza sia in materia di deposito temporaneo dei rifiuti che di violazione di cui al D.Lgs. n. 42 del 2004, art. 181. 2.1 Come è noto il reato di cui al D.Lgs. n. 42 del 2004, art. 181 ha natura di reato di pericolo, sicch</w:t>
      </w:r>
      <w:r>
        <w:rPr>
          <w:rFonts w:ascii="Times New Roman" w:hAnsi="Times New Roman" w:cs="Times New Roman"/>
          <w:sz w:val="24"/>
          <w:szCs w:val="24"/>
        </w:rPr>
        <w:t>é</w:t>
      </w:r>
      <w:r w:rsidRPr="004A385F">
        <w:rPr>
          <w:rFonts w:ascii="Times New Roman" w:hAnsi="Times New Roman" w:cs="Times New Roman"/>
          <w:sz w:val="24"/>
          <w:szCs w:val="24"/>
        </w:rPr>
        <w:t xml:space="preserve"> non occorre un effettivo nocumento per l'ambiente ma è sufficiente che la condotta posta in essere sia idonea a offendere gli interessi protetti dalla norma.</w:t>
      </w:r>
    </w:p>
    <w:p w:rsidR="004A385F" w:rsidRPr="004A385F" w:rsidRDefault="004A385F" w:rsidP="004A385F">
      <w:pPr>
        <w:spacing w:after="0" w:line="240" w:lineRule="auto"/>
        <w:jc w:val="both"/>
        <w:rPr>
          <w:rFonts w:ascii="Times New Roman" w:hAnsi="Times New Roman" w:cs="Times New Roman"/>
          <w:sz w:val="24"/>
          <w:szCs w:val="24"/>
        </w:rPr>
      </w:pPr>
      <w:r w:rsidRPr="004A385F">
        <w:rPr>
          <w:rFonts w:ascii="Times New Roman" w:hAnsi="Times New Roman" w:cs="Times New Roman"/>
          <w:sz w:val="24"/>
          <w:szCs w:val="24"/>
        </w:rPr>
        <w:t>Devono essere, pertanto, escluse solo le condotte che si presentano inidonee anche in astratto a compromettere i valori del paesaggio o più genericamente quelli ambientali (sez. 3, 7.2.2003 n. 14461, Carparelli; sez. 3, 25.2.2003 n. 19761; sez. 3, 3.6.2004 n. 38051 ed altre), come già correttamente rilevato nella sentenza impugnata.</w:t>
      </w:r>
    </w:p>
    <w:p w:rsidR="004A385F" w:rsidRPr="004A385F" w:rsidRDefault="004A385F" w:rsidP="004A385F">
      <w:pPr>
        <w:spacing w:after="0" w:line="240" w:lineRule="auto"/>
        <w:jc w:val="both"/>
        <w:rPr>
          <w:rFonts w:ascii="Times New Roman" w:hAnsi="Times New Roman" w:cs="Times New Roman"/>
          <w:sz w:val="24"/>
          <w:szCs w:val="24"/>
        </w:rPr>
      </w:pPr>
      <w:r w:rsidRPr="004A385F">
        <w:rPr>
          <w:rFonts w:ascii="Times New Roman" w:hAnsi="Times New Roman" w:cs="Times New Roman"/>
          <w:sz w:val="24"/>
          <w:szCs w:val="24"/>
        </w:rPr>
        <w:t>2.2 In materia di deposito temporaneo proprio la sentenza citata dalla difesa del F. (sez. 3, 11.7.2007 n. 35622), implica che nel caso in esame non possa essere configurata detta ipotesi, occorrendo che il luogo di deposito sia nella disponibilità dell'impresa produttrice dei rifiuti e funzionalmente collegato a quello di produzione, condizione che nella specie è del tutto insussistente secondo l'accertamento di merito, stante anche la notevole distanza tra il luogo dei lavori e quello di deposito.</w:t>
      </w:r>
    </w:p>
    <w:p w:rsidR="004A385F" w:rsidRPr="004A385F" w:rsidRDefault="004A385F" w:rsidP="004A385F">
      <w:pPr>
        <w:spacing w:after="0" w:line="240" w:lineRule="auto"/>
        <w:jc w:val="both"/>
        <w:rPr>
          <w:rFonts w:ascii="Times New Roman" w:hAnsi="Times New Roman" w:cs="Times New Roman"/>
          <w:sz w:val="24"/>
          <w:szCs w:val="24"/>
        </w:rPr>
      </w:pPr>
      <w:r w:rsidRPr="004A385F">
        <w:rPr>
          <w:rFonts w:ascii="Times New Roman" w:hAnsi="Times New Roman" w:cs="Times New Roman"/>
          <w:sz w:val="24"/>
          <w:szCs w:val="24"/>
        </w:rPr>
        <w:t xml:space="preserve">Il </w:t>
      </w:r>
      <w:proofErr w:type="spellStart"/>
      <w:r w:rsidRPr="004A385F">
        <w:rPr>
          <w:rFonts w:ascii="Times New Roman" w:hAnsi="Times New Roman" w:cs="Times New Roman"/>
          <w:sz w:val="24"/>
          <w:szCs w:val="24"/>
        </w:rPr>
        <w:t>D.Lgs</w:t>
      </w:r>
      <w:proofErr w:type="spellEnd"/>
      <w:r w:rsidRPr="004A385F">
        <w:rPr>
          <w:rFonts w:ascii="Times New Roman" w:hAnsi="Times New Roman" w:cs="Times New Roman"/>
          <w:sz w:val="24"/>
          <w:szCs w:val="24"/>
        </w:rPr>
        <w:t xml:space="preserve"> n. 152 del 2006, art. 183, comma 1, </w:t>
      </w:r>
      <w:proofErr w:type="spellStart"/>
      <w:r w:rsidRPr="004A385F">
        <w:rPr>
          <w:rFonts w:ascii="Times New Roman" w:hAnsi="Times New Roman" w:cs="Times New Roman"/>
          <w:sz w:val="24"/>
          <w:szCs w:val="24"/>
        </w:rPr>
        <w:t>lett</w:t>
      </w:r>
      <w:proofErr w:type="spellEnd"/>
      <w:r w:rsidRPr="004A385F">
        <w:rPr>
          <w:rFonts w:ascii="Times New Roman" w:hAnsi="Times New Roman" w:cs="Times New Roman"/>
          <w:sz w:val="24"/>
          <w:szCs w:val="24"/>
        </w:rPr>
        <w:t xml:space="preserve">. m) inoltre è stato sostituito dall'art. 183, comma 1, </w:t>
      </w:r>
      <w:proofErr w:type="spellStart"/>
      <w:r w:rsidRPr="004A385F">
        <w:rPr>
          <w:rFonts w:ascii="Times New Roman" w:hAnsi="Times New Roman" w:cs="Times New Roman"/>
          <w:sz w:val="24"/>
          <w:szCs w:val="24"/>
        </w:rPr>
        <w:t>lett</w:t>
      </w:r>
      <w:proofErr w:type="spellEnd"/>
      <w:r w:rsidRPr="004A385F">
        <w:rPr>
          <w:rFonts w:ascii="Times New Roman" w:hAnsi="Times New Roman" w:cs="Times New Roman"/>
          <w:sz w:val="24"/>
          <w:szCs w:val="24"/>
        </w:rPr>
        <w:t xml:space="preserve">. </w:t>
      </w:r>
      <w:proofErr w:type="spellStart"/>
      <w:r w:rsidRPr="004A385F">
        <w:rPr>
          <w:rFonts w:ascii="Times New Roman" w:hAnsi="Times New Roman" w:cs="Times New Roman"/>
          <w:sz w:val="24"/>
          <w:szCs w:val="24"/>
        </w:rPr>
        <w:t>bb</w:t>
      </w:r>
      <w:proofErr w:type="spellEnd"/>
      <w:r w:rsidRPr="004A385F">
        <w:rPr>
          <w:rFonts w:ascii="Times New Roman" w:hAnsi="Times New Roman" w:cs="Times New Roman"/>
          <w:sz w:val="24"/>
          <w:szCs w:val="24"/>
        </w:rPr>
        <w:t>), ai sensi del D.Lgs. n. 205 del 2010, art. 10 che ha lasciato inalterato il requisito del deposito nei luogo di produzione.</w:t>
      </w:r>
    </w:p>
    <w:p w:rsidR="004A385F" w:rsidRPr="004A385F" w:rsidRDefault="004A385F" w:rsidP="004A385F">
      <w:pPr>
        <w:spacing w:after="0" w:line="240" w:lineRule="auto"/>
        <w:jc w:val="both"/>
        <w:rPr>
          <w:rFonts w:ascii="Times New Roman" w:hAnsi="Times New Roman" w:cs="Times New Roman"/>
          <w:sz w:val="24"/>
          <w:szCs w:val="24"/>
        </w:rPr>
      </w:pPr>
      <w:r w:rsidRPr="004A385F">
        <w:rPr>
          <w:rFonts w:ascii="Times New Roman" w:hAnsi="Times New Roman" w:cs="Times New Roman"/>
          <w:sz w:val="24"/>
          <w:szCs w:val="24"/>
        </w:rPr>
        <w:t>2.3 Infine quanto alla prescrizione il termine ex artt. 157, 160 e 161 c.p. come modificati dalla L. n. 251 del 2005 è di cinque anni, con la conseguenza che il termine ordinario di prescrizione sarebbe scaduto il 27.11.2011, successivamente alla sentenza impugnata, fatti salvi, però, gli ulteriori periodi di sospensione per rinvii del dibattimento per impedimento o su richiesta di parte.</w:t>
      </w:r>
    </w:p>
    <w:p w:rsidR="004A385F" w:rsidRPr="004A385F" w:rsidRDefault="004A385F" w:rsidP="004A385F">
      <w:pPr>
        <w:spacing w:after="0" w:line="240" w:lineRule="auto"/>
        <w:jc w:val="both"/>
        <w:rPr>
          <w:rFonts w:ascii="Times New Roman" w:hAnsi="Times New Roman" w:cs="Times New Roman"/>
          <w:sz w:val="24"/>
          <w:szCs w:val="24"/>
        </w:rPr>
      </w:pPr>
      <w:r w:rsidRPr="004A385F">
        <w:rPr>
          <w:rFonts w:ascii="Times New Roman" w:hAnsi="Times New Roman" w:cs="Times New Roman"/>
          <w:sz w:val="24"/>
          <w:szCs w:val="24"/>
        </w:rPr>
        <w:t xml:space="preserve">I ricorsi, pertanto, devono essere dichiarati inammissibili ai sensi dell'art. 606 c.p.p., </w:t>
      </w:r>
      <w:proofErr w:type="spellStart"/>
      <w:r w:rsidRPr="004A385F">
        <w:rPr>
          <w:rFonts w:ascii="Times New Roman" w:hAnsi="Times New Roman" w:cs="Times New Roman"/>
          <w:sz w:val="24"/>
          <w:szCs w:val="24"/>
        </w:rPr>
        <w:t>u.c.</w:t>
      </w:r>
      <w:proofErr w:type="spellEnd"/>
      <w:r w:rsidRPr="004A385F">
        <w:rPr>
          <w:rFonts w:ascii="Times New Roman" w:hAnsi="Times New Roman" w:cs="Times New Roman"/>
          <w:sz w:val="24"/>
          <w:szCs w:val="24"/>
        </w:rPr>
        <w:t>, con le conseguenze di legge.</w:t>
      </w:r>
    </w:p>
    <w:p w:rsidR="003F05EF" w:rsidRDefault="003F05EF" w:rsidP="004A385F">
      <w:pPr>
        <w:spacing w:after="0" w:line="240" w:lineRule="auto"/>
        <w:jc w:val="both"/>
        <w:rPr>
          <w:rFonts w:ascii="Times New Roman" w:hAnsi="Times New Roman" w:cs="Times New Roman"/>
          <w:sz w:val="24"/>
          <w:szCs w:val="24"/>
        </w:rPr>
      </w:pPr>
    </w:p>
    <w:p w:rsidR="004A385F" w:rsidRPr="004A385F" w:rsidRDefault="004A385F" w:rsidP="004A385F">
      <w:pPr>
        <w:spacing w:after="0" w:line="240" w:lineRule="auto"/>
        <w:jc w:val="both"/>
        <w:rPr>
          <w:rFonts w:ascii="Times New Roman" w:hAnsi="Times New Roman" w:cs="Times New Roman"/>
          <w:sz w:val="24"/>
          <w:szCs w:val="24"/>
        </w:rPr>
      </w:pPr>
    </w:p>
    <w:sectPr w:rsidR="004A385F" w:rsidRPr="004A385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85F"/>
    <w:rsid w:val="003F05EF"/>
    <w:rsid w:val="004A385F"/>
    <w:rsid w:val="00D9490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984</Words>
  <Characters>5609</Characters>
  <Application>Microsoft Office Word</Application>
  <DocSecurity>0</DocSecurity>
  <Lines>46</Lines>
  <Paragraphs>13</Paragraphs>
  <ScaleCrop>false</ScaleCrop>
  <Company/>
  <LinksUpToDate>false</LinksUpToDate>
  <CharactersWithSpaces>6580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ADigirolamo</dc:creator>
  <cp:lastModifiedBy>ADigirolamo</cp:lastModifiedBy>
  <cp:revision>1</cp:revision>
  <dcterms:created xsi:type="dcterms:W3CDTF">2012-07-10T07:39:00Z</dcterms:created>
  <dcterms:modified xsi:type="dcterms:W3CDTF">2012-07-10T07:48:00Z</dcterms:modified>
</cp:coreProperties>
</file>