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CB" w:rsidRDefault="002E79CB" w:rsidP="002E79CB">
      <w:pPr>
        <w:spacing w:after="0" w:line="240" w:lineRule="auto"/>
        <w:jc w:val="both"/>
        <w:rPr>
          <w:rFonts w:ascii="Times New Roman" w:hAnsi="Times New Roman" w:cs="Times New Roman"/>
          <w:b/>
          <w:sz w:val="24"/>
          <w:szCs w:val="24"/>
        </w:rPr>
      </w:pPr>
      <w:proofErr w:type="spellStart"/>
      <w:r w:rsidRPr="00D04FB8">
        <w:rPr>
          <w:rFonts w:ascii="Times New Roman" w:hAnsi="Times New Roman" w:cs="Times New Roman"/>
          <w:b/>
          <w:sz w:val="24"/>
          <w:szCs w:val="24"/>
        </w:rPr>
        <w:t>Cass</w:t>
      </w:r>
      <w:proofErr w:type="spellEnd"/>
      <w:r w:rsidRPr="00D04FB8">
        <w:rPr>
          <w:rFonts w:ascii="Times New Roman" w:hAnsi="Times New Roman" w:cs="Times New Roman"/>
          <w:b/>
          <w:sz w:val="24"/>
          <w:szCs w:val="24"/>
        </w:rPr>
        <w:t>. Pen., III</w:t>
      </w:r>
      <w:r>
        <w:rPr>
          <w:rFonts w:ascii="Times New Roman" w:hAnsi="Times New Roman" w:cs="Times New Roman"/>
          <w:b/>
          <w:sz w:val="24"/>
          <w:szCs w:val="24"/>
        </w:rPr>
        <w:t>,</w:t>
      </w:r>
      <w:r w:rsidRPr="00D04FB8">
        <w:rPr>
          <w:rFonts w:ascii="Times New Roman" w:hAnsi="Times New Roman" w:cs="Times New Roman"/>
          <w:b/>
          <w:sz w:val="24"/>
          <w:szCs w:val="24"/>
        </w:rPr>
        <w:t xml:space="preserve"> n. 5031 del 09/02/2012 - </w:t>
      </w:r>
      <w:proofErr w:type="spellStart"/>
      <w:r w:rsidRPr="00D04FB8">
        <w:rPr>
          <w:rFonts w:ascii="Times New Roman" w:hAnsi="Times New Roman" w:cs="Times New Roman"/>
          <w:b/>
          <w:sz w:val="24"/>
          <w:szCs w:val="24"/>
        </w:rPr>
        <w:t>Pres</w:t>
      </w:r>
      <w:proofErr w:type="spellEnd"/>
      <w:r w:rsidRPr="00D04FB8">
        <w:rPr>
          <w:rFonts w:ascii="Times New Roman" w:hAnsi="Times New Roman" w:cs="Times New Roman"/>
          <w:b/>
          <w:sz w:val="24"/>
          <w:szCs w:val="24"/>
        </w:rPr>
        <w:t xml:space="preserve">. </w:t>
      </w:r>
      <w:proofErr w:type="spellStart"/>
      <w:r w:rsidRPr="00D04FB8">
        <w:rPr>
          <w:rFonts w:ascii="Times New Roman" w:hAnsi="Times New Roman" w:cs="Times New Roman"/>
          <w:b/>
          <w:sz w:val="24"/>
          <w:szCs w:val="24"/>
        </w:rPr>
        <w:t>Teresi</w:t>
      </w:r>
      <w:proofErr w:type="spellEnd"/>
      <w:r w:rsidRPr="00D04FB8">
        <w:rPr>
          <w:rFonts w:ascii="Times New Roman" w:hAnsi="Times New Roman" w:cs="Times New Roman"/>
          <w:b/>
          <w:sz w:val="24"/>
          <w:szCs w:val="24"/>
        </w:rPr>
        <w:t xml:space="preserve"> - </w:t>
      </w:r>
      <w:proofErr w:type="spellStart"/>
      <w:r w:rsidRPr="00D04FB8">
        <w:rPr>
          <w:rFonts w:ascii="Times New Roman" w:hAnsi="Times New Roman" w:cs="Times New Roman"/>
          <w:b/>
          <w:sz w:val="24"/>
          <w:szCs w:val="24"/>
        </w:rPr>
        <w:t>Rel</w:t>
      </w:r>
      <w:proofErr w:type="spellEnd"/>
      <w:r w:rsidRPr="00D04FB8">
        <w:rPr>
          <w:rFonts w:ascii="Times New Roman" w:hAnsi="Times New Roman" w:cs="Times New Roman"/>
          <w:b/>
          <w:sz w:val="24"/>
          <w:szCs w:val="24"/>
        </w:rPr>
        <w:t xml:space="preserve">. </w:t>
      </w:r>
      <w:r>
        <w:rPr>
          <w:rFonts w:ascii="Times New Roman" w:hAnsi="Times New Roman" w:cs="Times New Roman"/>
          <w:b/>
          <w:sz w:val="24"/>
          <w:szCs w:val="24"/>
        </w:rPr>
        <w:t>Lombardi – Ric. G.A. e a.</w:t>
      </w:r>
    </w:p>
    <w:p w:rsidR="002E79CB" w:rsidRDefault="002E79CB" w:rsidP="002E79CB">
      <w:pPr>
        <w:spacing w:after="0" w:line="240" w:lineRule="auto"/>
        <w:jc w:val="both"/>
        <w:rPr>
          <w:rFonts w:ascii="Times New Roman" w:hAnsi="Times New Roman" w:cs="Times New Roman"/>
          <w:sz w:val="24"/>
          <w:szCs w:val="24"/>
        </w:rPr>
      </w:pPr>
    </w:p>
    <w:p w:rsidR="002E79CB" w:rsidRDefault="002E79CB" w:rsidP="002E79C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Rifiuti</w:t>
      </w:r>
      <w:r>
        <w:rPr>
          <w:rFonts w:ascii="Times New Roman" w:hAnsi="Times New Roman" w:cs="Times New Roman"/>
          <w:sz w:val="24"/>
          <w:szCs w:val="24"/>
        </w:rPr>
        <w:t xml:space="preserve"> – Attività di trasporto - Interpretazione</w:t>
      </w:r>
    </w:p>
    <w:p w:rsidR="002E79CB" w:rsidRDefault="002E79CB" w:rsidP="002E79C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Per “attività” di trasporto di rifiuti in assenza della prescritta autorizzazione nei territori in cui vige lo stato di emergenza - fattispecie sanzionata dall’art. 6, comma 1, </w:t>
      </w:r>
      <w:proofErr w:type="spellStart"/>
      <w:r>
        <w:rPr>
          <w:rFonts w:ascii="Times New Roman" w:hAnsi="Times New Roman" w:cs="Times New Roman"/>
          <w:i/>
          <w:sz w:val="24"/>
          <w:szCs w:val="24"/>
        </w:rPr>
        <w:t>lett</w:t>
      </w:r>
      <w:proofErr w:type="spellEnd"/>
      <w:r>
        <w:rPr>
          <w:rFonts w:ascii="Times New Roman" w:hAnsi="Times New Roman" w:cs="Times New Roman"/>
          <w:i/>
          <w:sz w:val="24"/>
          <w:szCs w:val="24"/>
        </w:rPr>
        <w:t xml:space="preserve">. d), n. 1), del D.L. n. 172/2008, </w:t>
      </w:r>
      <w:proofErr w:type="spellStart"/>
      <w:r>
        <w:rPr>
          <w:rFonts w:ascii="Times New Roman" w:hAnsi="Times New Roman" w:cs="Times New Roman"/>
          <w:i/>
          <w:sz w:val="24"/>
          <w:szCs w:val="24"/>
        </w:rPr>
        <w:t>conv</w:t>
      </w:r>
      <w:proofErr w:type="spellEnd"/>
      <w:r>
        <w:rPr>
          <w:rFonts w:ascii="Times New Roman" w:hAnsi="Times New Roman" w:cs="Times New Roman"/>
          <w:i/>
          <w:sz w:val="24"/>
          <w:szCs w:val="24"/>
        </w:rPr>
        <w:t xml:space="preserve">. con </w:t>
      </w:r>
      <w:proofErr w:type="spellStart"/>
      <w:r>
        <w:rPr>
          <w:rFonts w:ascii="Times New Roman" w:hAnsi="Times New Roman" w:cs="Times New Roman"/>
          <w:i/>
          <w:sz w:val="24"/>
          <w:szCs w:val="24"/>
        </w:rPr>
        <w:t>modif</w:t>
      </w:r>
      <w:proofErr w:type="spellEnd"/>
      <w:r>
        <w:rPr>
          <w:rFonts w:ascii="Times New Roman" w:hAnsi="Times New Roman" w:cs="Times New Roman"/>
          <w:i/>
          <w:sz w:val="24"/>
          <w:szCs w:val="24"/>
        </w:rPr>
        <w:t>., nella L. n. 210/2008 - deve intendersi ogni condotta che non sia caratterizzata da assoluta occasionalità: si tratta, infatti, di reato comune, in quanto può essere commesso da "chiunque", e non di reato proprio, sicché non occorrono i requisiti della professionalità della condotta ovvero di un'organizzazione imprenditoriale della stessa.</w:t>
      </w:r>
    </w:p>
    <w:p w:rsidR="00D235C7" w:rsidRDefault="00D235C7" w:rsidP="0012129E">
      <w:pPr>
        <w:spacing w:after="0" w:line="240" w:lineRule="auto"/>
        <w:jc w:val="both"/>
        <w:rPr>
          <w:rFonts w:ascii="Times New Roman" w:hAnsi="Times New Roman" w:cs="Times New Roman"/>
          <w:sz w:val="24"/>
          <w:szCs w:val="24"/>
        </w:rPr>
      </w:pPr>
      <w:bookmarkStart w:id="0" w:name="_GoBack"/>
      <w:bookmarkEnd w:id="0"/>
    </w:p>
    <w:p w:rsidR="00D235C7" w:rsidRDefault="00D235C7" w:rsidP="0012129E">
      <w:pPr>
        <w:spacing w:after="0" w:line="240" w:lineRule="auto"/>
        <w:jc w:val="both"/>
        <w:rPr>
          <w:rFonts w:ascii="Times New Roman" w:hAnsi="Times New Roman" w:cs="Times New Roman"/>
          <w:sz w:val="24"/>
          <w:szCs w:val="24"/>
        </w:rPr>
      </w:pPr>
    </w:p>
    <w:p w:rsidR="0012129E" w:rsidRPr="0012129E" w:rsidRDefault="0012129E" w:rsidP="0012129E">
      <w:pPr>
        <w:spacing w:after="0" w:line="240" w:lineRule="auto"/>
        <w:jc w:val="both"/>
        <w:rPr>
          <w:rFonts w:ascii="Times New Roman" w:hAnsi="Times New Roman" w:cs="Times New Roman"/>
          <w:sz w:val="24"/>
          <w:szCs w:val="24"/>
        </w:rPr>
      </w:pPr>
      <w:r w:rsidRPr="0012129E">
        <w:rPr>
          <w:rFonts w:ascii="Times New Roman" w:hAnsi="Times New Roman" w:cs="Times New Roman"/>
          <w:sz w:val="24"/>
          <w:szCs w:val="24"/>
        </w:rPr>
        <w:t>Svolgimento del processo</w:t>
      </w:r>
    </w:p>
    <w:p w:rsidR="0012129E" w:rsidRPr="0012129E" w:rsidRDefault="0012129E" w:rsidP="0012129E">
      <w:pPr>
        <w:spacing w:after="0" w:line="240" w:lineRule="auto"/>
        <w:jc w:val="both"/>
        <w:rPr>
          <w:rFonts w:ascii="Times New Roman" w:hAnsi="Times New Roman" w:cs="Times New Roman"/>
          <w:sz w:val="24"/>
          <w:szCs w:val="24"/>
        </w:rPr>
      </w:pPr>
      <w:r w:rsidRPr="0012129E">
        <w:rPr>
          <w:rFonts w:ascii="Times New Roman" w:hAnsi="Times New Roman" w:cs="Times New Roman"/>
          <w:sz w:val="24"/>
          <w:szCs w:val="24"/>
        </w:rPr>
        <w:t xml:space="preserve">Con la sentenza impugnata la Corte di Appello di Napoli ha confermato la dichiarazione di colpevolezza di G.A. e P. C. in ordine al reato di cui all'art. 110 c.p. e D.L. n. 172 del 2008, art. 6, comma 1, </w:t>
      </w:r>
      <w:proofErr w:type="spellStart"/>
      <w:r w:rsidRPr="0012129E">
        <w:rPr>
          <w:rFonts w:ascii="Times New Roman" w:hAnsi="Times New Roman" w:cs="Times New Roman"/>
          <w:sz w:val="24"/>
          <w:szCs w:val="24"/>
        </w:rPr>
        <w:t>lett</w:t>
      </w:r>
      <w:proofErr w:type="spellEnd"/>
      <w:r w:rsidRPr="0012129E">
        <w:rPr>
          <w:rFonts w:ascii="Times New Roman" w:hAnsi="Times New Roman" w:cs="Times New Roman"/>
          <w:sz w:val="24"/>
          <w:szCs w:val="24"/>
        </w:rPr>
        <w:t>. d), n. 1), loro ascritto per avere effettuato, senza la prescritta autorizzazione, iscrizione o comunicazione, un'attività di raccolta, trasporto o comunque recupero di rifiuti ingombranti misti per una volumetria superiore a quella indicata dalla lettera a) del predetto comma, del tipo bombole del gas vuote, forni, biciclette, motori, ferri per costruzione, telai per infissi, vetri e plastiche.</w:t>
      </w:r>
    </w:p>
    <w:p w:rsidR="0012129E" w:rsidRPr="0012129E" w:rsidRDefault="0012129E" w:rsidP="0012129E">
      <w:pPr>
        <w:spacing w:after="0" w:line="240" w:lineRule="auto"/>
        <w:jc w:val="both"/>
        <w:rPr>
          <w:rFonts w:ascii="Times New Roman" w:hAnsi="Times New Roman" w:cs="Times New Roman"/>
          <w:sz w:val="24"/>
          <w:szCs w:val="24"/>
        </w:rPr>
      </w:pPr>
      <w:r w:rsidRPr="0012129E">
        <w:rPr>
          <w:rFonts w:ascii="Times New Roman" w:hAnsi="Times New Roman" w:cs="Times New Roman"/>
          <w:sz w:val="24"/>
          <w:szCs w:val="24"/>
        </w:rPr>
        <w:t>Gli imputati erano stati fermati dai C.C. mentre trasportavano con un camion i rifiuti speciali descritti in imputazione.</w:t>
      </w:r>
    </w:p>
    <w:p w:rsidR="0012129E" w:rsidRPr="0012129E" w:rsidRDefault="0012129E" w:rsidP="0012129E">
      <w:pPr>
        <w:spacing w:after="0" w:line="240" w:lineRule="auto"/>
        <w:jc w:val="both"/>
        <w:rPr>
          <w:rFonts w:ascii="Times New Roman" w:hAnsi="Times New Roman" w:cs="Times New Roman"/>
          <w:sz w:val="24"/>
          <w:szCs w:val="24"/>
        </w:rPr>
      </w:pPr>
      <w:r w:rsidRPr="0012129E">
        <w:rPr>
          <w:rFonts w:ascii="Times New Roman" w:hAnsi="Times New Roman" w:cs="Times New Roman"/>
          <w:sz w:val="24"/>
          <w:szCs w:val="24"/>
        </w:rPr>
        <w:t xml:space="preserve">La sentenza ha ritenuto condivisibile la valutazione del giudice di primo grado in ordine alla non occasionalità del trasporto dei rifiuti, </w:t>
      </w:r>
      <w:proofErr w:type="spellStart"/>
      <w:r w:rsidRPr="0012129E">
        <w:rPr>
          <w:rFonts w:ascii="Times New Roman" w:hAnsi="Times New Roman" w:cs="Times New Roman"/>
          <w:sz w:val="24"/>
          <w:szCs w:val="24"/>
        </w:rPr>
        <w:t>nonchè</w:t>
      </w:r>
      <w:proofErr w:type="spellEnd"/>
      <w:r w:rsidRPr="0012129E">
        <w:rPr>
          <w:rFonts w:ascii="Times New Roman" w:hAnsi="Times New Roman" w:cs="Times New Roman"/>
          <w:sz w:val="24"/>
          <w:szCs w:val="24"/>
        </w:rPr>
        <w:t xml:space="preserve"> in punto di diniego delle attenuanti generiche al G. e di dosimetria della pena.</w:t>
      </w:r>
    </w:p>
    <w:p w:rsidR="0012129E" w:rsidRPr="0012129E" w:rsidRDefault="0012129E" w:rsidP="0012129E">
      <w:pPr>
        <w:spacing w:after="0" w:line="240" w:lineRule="auto"/>
        <w:jc w:val="both"/>
        <w:rPr>
          <w:rFonts w:ascii="Times New Roman" w:hAnsi="Times New Roman" w:cs="Times New Roman"/>
          <w:sz w:val="24"/>
          <w:szCs w:val="24"/>
        </w:rPr>
      </w:pPr>
      <w:r w:rsidRPr="0012129E">
        <w:rPr>
          <w:rFonts w:ascii="Times New Roman" w:hAnsi="Times New Roman" w:cs="Times New Roman"/>
          <w:sz w:val="24"/>
          <w:szCs w:val="24"/>
        </w:rPr>
        <w:t>Avverso la sentenza ha proposto ricorso il difensore degli imputati, che la denuncia per violazione di legge e vizi di motivazione.</w:t>
      </w:r>
    </w:p>
    <w:p w:rsidR="0012129E" w:rsidRPr="0012129E" w:rsidRDefault="0012129E" w:rsidP="0012129E">
      <w:pPr>
        <w:spacing w:after="0" w:line="240" w:lineRule="auto"/>
        <w:jc w:val="both"/>
        <w:rPr>
          <w:rFonts w:ascii="Times New Roman" w:hAnsi="Times New Roman" w:cs="Times New Roman"/>
          <w:sz w:val="24"/>
          <w:szCs w:val="24"/>
        </w:rPr>
      </w:pPr>
      <w:r w:rsidRPr="0012129E">
        <w:rPr>
          <w:rFonts w:ascii="Times New Roman" w:hAnsi="Times New Roman" w:cs="Times New Roman"/>
          <w:sz w:val="24"/>
          <w:szCs w:val="24"/>
        </w:rPr>
        <w:t>Motivi della decisione</w:t>
      </w:r>
    </w:p>
    <w:p w:rsidR="0012129E" w:rsidRPr="0012129E" w:rsidRDefault="0012129E" w:rsidP="0012129E">
      <w:pPr>
        <w:spacing w:after="0" w:line="240" w:lineRule="auto"/>
        <w:jc w:val="both"/>
        <w:rPr>
          <w:rFonts w:ascii="Times New Roman" w:hAnsi="Times New Roman" w:cs="Times New Roman"/>
          <w:sz w:val="24"/>
          <w:szCs w:val="24"/>
        </w:rPr>
      </w:pPr>
      <w:r w:rsidRPr="0012129E">
        <w:rPr>
          <w:rFonts w:ascii="Times New Roman" w:hAnsi="Times New Roman" w:cs="Times New Roman"/>
          <w:sz w:val="24"/>
          <w:szCs w:val="24"/>
        </w:rPr>
        <w:t xml:space="preserve">Con il primo mezzo di annullamento i ricorrenti denunciano la violazione ed errata applicazione dell'art. 110 c.p. e D.L. n. 172 del 2008, art. 6, comma 1, </w:t>
      </w:r>
      <w:proofErr w:type="spellStart"/>
      <w:r w:rsidRPr="0012129E">
        <w:rPr>
          <w:rFonts w:ascii="Times New Roman" w:hAnsi="Times New Roman" w:cs="Times New Roman"/>
          <w:sz w:val="24"/>
          <w:szCs w:val="24"/>
        </w:rPr>
        <w:t>lett</w:t>
      </w:r>
      <w:proofErr w:type="spellEnd"/>
      <w:r w:rsidRPr="0012129E">
        <w:rPr>
          <w:rFonts w:ascii="Times New Roman" w:hAnsi="Times New Roman" w:cs="Times New Roman"/>
          <w:sz w:val="24"/>
          <w:szCs w:val="24"/>
        </w:rPr>
        <w:t>. d), n. 1), art. 530 c.p.p. e vizi di motivazione della sentenza.</w:t>
      </w:r>
    </w:p>
    <w:p w:rsidR="0012129E" w:rsidRPr="0012129E" w:rsidRDefault="0012129E" w:rsidP="0012129E">
      <w:pPr>
        <w:spacing w:after="0" w:line="240" w:lineRule="auto"/>
        <w:jc w:val="both"/>
        <w:rPr>
          <w:rFonts w:ascii="Times New Roman" w:hAnsi="Times New Roman" w:cs="Times New Roman"/>
          <w:sz w:val="24"/>
          <w:szCs w:val="24"/>
        </w:rPr>
      </w:pPr>
      <w:r w:rsidRPr="0012129E">
        <w:rPr>
          <w:rFonts w:ascii="Times New Roman" w:hAnsi="Times New Roman" w:cs="Times New Roman"/>
          <w:sz w:val="24"/>
          <w:szCs w:val="24"/>
        </w:rPr>
        <w:t>Con il motivo di gravame, in sintesi, si contesta l'esistenza degli elementi costitutivi della fattispecie incriminatrice con riferimento, da un lato, all'ipotesi dell'abbandono o scarico di rifiuti, facendosi rilevare che gli imputati erano stati fermati nei pressi di un deposito autorizzato al recupero dove li stavano trasportando e, dall'altro, deducendosi che la condotta posta in essere dagli imputati non è riconducibile alla nozione di attività prevista dalla norma, che richiede un qualcosa in più rispetto al semplice trasporto e, cioè, un'attività professionale con un minimo di stabilità e di organizzazione incompatibile con una condotta meramente occasionale ed estemporanea.</w:t>
      </w:r>
    </w:p>
    <w:p w:rsidR="0012129E" w:rsidRPr="0012129E" w:rsidRDefault="0012129E" w:rsidP="0012129E">
      <w:pPr>
        <w:spacing w:after="0" w:line="240" w:lineRule="auto"/>
        <w:jc w:val="both"/>
        <w:rPr>
          <w:rFonts w:ascii="Times New Roman" w:hAnsi="Times New Roman" w:cs="Times New Roman"/>
          <w:sz w:val="24"/>
          <w:szCs w:val="24"/>
        </w:rPr>
      </w:pPr>
      <w:r w:rsidRPr="0012129E">
        <w:rPr>
          <w:rFonts w:ascii="Times New Roman" w:hAnsi="Times New Roman" w:cs="Times New Roman"/>
          <w:sz w:val="24"/>
          <w:szCs w:val="24"/>
        </w:rPr>
        <w:t xml:space="preserve">Sul punto si fa rilevare che il dato letterale della norma, nella quale non si menziona il semplice trasporto, ma un'attività di trasporto, e la distinzione tra le ipotesi di cui al D.L. n. 172 del 2008, art. 1, </w:t>
      </w:r>
      <w:proofErr w:type="spellStart"/>
      <w:r w:rsidRPr="0012129E">
        <w:rPr>
          <w:rFonts w:ascii="Times New Roman" w:hAnsi="Times New Roman" w:cs="Times New Roman"/>
          <w:sz w:val="24"/>
          <w:szCs w:val="24"/>
        </w:rPr>
        <w:t>lett</w:t>
      </w:r>
      <w:proofErr w:type="spellEnd"/>
      <w:r w:rsidRPr="0012129E">
        <w:rPr>
          <w:rFonts w:ascii="Times New Roman" w:hAnsi="Times New Roman" w:cs="Times New Roman"/>
          <w:sz w:val="24"/>
          <w:szCs w:val="24"/>
        </w:rPr>
        <w:t>. a) e d) impongono una interpretazione limitativa della fattispecie criminosa, da ritenersi integrata solo in presenza di un complesso di decisioni, mezzi o beni av</w:t>
      </w:r>
      <w:r w:rsidR="00310F37">
        <w:rPr>
          <w:rFonts w:ascii="Times New Roman" w:hAnsi="Times New Roman" w:cs="Times New Roman"/>
          <w:sz w:val="24"/>
          <w:szCs w:val="24"/>
        </w:rPr>
        <w:t>vinti da un'unica destinazione i</w:t>
      </w:r>
      <w:r w:rsidRPr="0012129E">
        <w:rPr>
          <w:rFonts w:ascii="Times New Roman" w:hAnsi="Times New Roman" w:cs="Times New Roman"/>
          <w:sz w:val="24"/>
          <w:szCs w:val="24"/>
        </w:rPr>
        <w:t>deologica.</w:t>
      </w:r>
    </w:p>
    <w:p w:rsidR="0012129E" w:rsidRDefault="0012129E" w:rsidP="0012129E">
      <w:pPr>
        <w:spacing w:after="0" w:line="240" w:lineRule="auto"/>
        <w:jc w:val="both"/>
        <w:rPr>
          <w:rFonts w:ascii="Times New Roman" w:hAnsi="Times New Roman" w:cs="Times New Roman"/>
          <w:sz w:val="24"/>
          <w:szCs w:val="24"/>
        </w:rPr>
      </w:pPr>
      <w:r w:rsidRPr="0012129E">
        <w:rPr>
          <w:rFonts w:ascii="Times New Roman" w:hAnsi="Times New Roman" w:cs="Times New Roman"/>
          <w:sz w:val="24"/>
          <w:szCs w:val="24"/>
        </w:rPr>
        <w:t xml:space="preserve">Sul punto si denuncia anche carenza di motivazione della sentenza </w:t>
      </w:r>
      <w:r>
        <w:rPr>
          <w:rFonts w:ascii="Times New Roman" w:hAnsi="Times New Roman" w:cs="Times New Roman"/>
          <w:sz w:val="24"/>
          <w:szCs w:val="24"/>
        </w:rPr>
        <w:t>impugnata.</w:t>
      </w:r>
    </w:p>
    <w:p w:rsidR="0012129E" w:rsidRPr="0012129E" w:rsidRDefault="0012129E" w:rsidP="0012129E">
      <w:pPr>
        <w:spacing w:after="0" w:line="240" w:lineRule="auto"/>
        <w:jc w:val="both"/>
        <w:rPr>
          <w:rFonts w:ascii="Times New Roman" w:hAnsi="Times New Roman" w:cs="Times New Roman"/>
          <w:sz w:val="24"/>
          <w:szCs w:val="24"/>
        </w:rPr>
      </w:pPr>
      <w:r w:rsidRPr="0012129E">
        <w:rPr>
          <w:rFonts w:ascii="Times New Roman" w:hAnsi="Times New Roman" w:cs="Times New Roman"/>
          <w:sz w:val="24"/>
          <w:szCs w:val="24"/>
        </w:rPr>
        <w:t xml:space="preserve">Con il secondo mezzo di annullamento si denunciano violazione di legge e vizi di motivazione in punto di trattamento sanzionatorio, con riferimento alla posizione del G., censurando il diniego delle generiche, stante la </w:t>
      </w:r>
      <w:proofErr w:type="spellStart"/>
      <w:r w:rsidRPr="0012129E">
        <w:rPr>
          <w:rFonts w:ascii="Times New Roman" w:hAnsi="Times New Roman" w:cs="Times New Roman"/>
          <w:sz w:val="24"/>
          <w:szCs w:val="24"/>
        </w:rPr>
        <w:t>risalenza</w:t>
      </w:r>
      <w:proofErr w:type="spellEnd"/>
      <w:r w:rsidRPr="0012129E">
        <w:rPr>
          <w:rFonts w:ascii="Times New Roman" w:hAnsi="Times New Roman" w:cs="Times New Roman"/>
          <w:sz w:val="24"/>
          <w:szCs w:val="24"/>
        </w:rPr>
        <w:t xml:space="preserve"> nel tempo dei precedenti penali dell'imputato, e la mancata applicazione della sanzione sostitutiva di quella detentiva; con riferimento alla posizione del P., censurando la mancata applicazione della diminuzione della pena per le attenuanti generiche nella massima estensione e la mancata determinazione della pena in corrispondenza del minimo edittale.</w:t>
      </w:r>
    </w:p>
    <w:p w:rsidR="0012129E" w:rsidRPr="0012129E" w:rsidRDefault="0012129E" w:rsidP="0012129E">
      <w:pPr>
        <w:spacing w:after="0" w:line="240" w:lineRule="auto"/>
        <w:jc w:val="both"/>
        <w:rPr>
          <w:rFonts w:ascii="Times New Roman" w:hAnsi="Times New Roman" w:cs="Times New Roman"/>
          <w:sz w:val="24"/>
          <w:szCs w:val="24"/>
        </w:rPr>
      </w:pPr>
      <w:r w:rsidRPr="0012129E">
        <w:rPr>
          <w:rFonts w:ascii="Times New Roman" w:hAnsi="Times New Roman" w:cs="Times New Roman"/>
          <w:sz w:val="24"/>
          <w:szCs w:val="24"/>
        </w:rPr>
        <w:t>Il ricorso è fondato limitatamente alla doglianza del G. avente ad oggetto l'omesso esame da parte del giudice di appello della richiesta di applicazione di una sanzione sostitutiva della pena inflitta.</w:t>
      </w:r>
    </w:p>
    <w:p w:rsidR="0012129E" w:rsidRPr="0012129E" w:rsidRDefault="0012129E" w:rsidP="0012129E">
      <w:pPr>
        <w:spacing w:after="0" w:line="240" w:lineRule="auto"/>
        <w:jc w:val="both"/>
        <w:rPr>
          <w:rFonts w:ascii="Times New Roman" w:hAnsi="Times New Roman" w:cs="Times New Roman"/>
          <w:sz w:val="24"/>
          <w:szCs w:val="24"/>
        </w:rPr>
      </w:pPr>
      <w:r w:rsidRPr="0012129E">
        <w:rPr>
          <w:rFonts w:ascii="Times New Roman" w:hAnsi="Times New Roman" w:cs="Times New Roman"/>
          <w:sz w:val="24"/>
          <w:szCs w:val="24"/>
        </w:rPr>
        <w:lastRenderedPageBreak/>
        <w:t>Sono, invece, infondate le deduzioni dei ricorrenti in punto di affermazione di colpevolezza e di dosimetria della pena.</w:t>
      </w:r>
    </w:p>
    <w:p w:rsidR="0012129E" w:rsidRPr="0012129E" w:rsidRDefault="0012129E" w:rsidP="0012129E">
      <w:pPr>
        <w:spacing w:after="0" w:line="240" w:lineRule="auto"/>
        <w:jc w:val="both"/>
        <w:rPr>
          <w:rFonts w:ascii="Times New Roman" w:hAnsi="Times New Roman" w:cs="Times New Roman"/>
          <w:sz w:val="24"/>
          <w:szCs w:val="24"/>
        </w:rPr>
      </w:pPr>
      <w:r w:rsidRPr="0012129E">
        <w:rPr>
          <w:rFonts w:ascii="Times New Roman" w:hAnsi="Times New Roman" w:cs="Times New Roman"/>
          <w:sz w:val="24"/>
          <w:szCs w:val="24"/>
        </w:rPr>
        <w:t xml:space="preserve">Nel caso in esame i giudici di merito hanno ritenuta sussistente la fattispecie di cui al D.L. n. 172 del 2008, art. 1, comma 1, </w:t>
      </w:r>
      <w:proofErr w:type="spellStart"/>
      <w:r w:rsidRPr="0012129E">
        <w:rPr>
          <w:rFonts w:ascii="Times New Roman" w:hAnsi="Times New Roman" w:cs="Times New Roman"/>
          <w:sz w:val="24"/>
          <w:szCs w:val="24"/>
        </w:rPr>
        <w:t>lett</w:t>
      </w:r>
      <w:proofErr w:type="spellEnd"/>
      <w:r w:rsidRPr="0012129E">
        <w:rPr>
          <w:rFonts w:ascii="Times New Roman" w:hAnsi="Times New Roman" w:cs="Times New Roman"/>
          <w:sz w:val="24"/>
          <w:szCs w:val="24"/>
        </w:rPr>
        <w:t>. d). n. 1), e, cioè, dello svolgimento di un'attività di raccolta e trasporto di rifiuti speciali, non pericolosi, senza le prescritte autorizzazione, iscrizione o comunicazione.</w:t>
      </w:r>
    </w:p>
    <w:p w:rsidR="0012129E" w:rsidRPr="0012129E" w:rsidRDefault="0012129E" w:rsidP="0012129E">
      <w:pPr>
        <w:spacing w:after="0" w:line="240" w:lineRule="auto"/>
        <w:jc w:val="both"/>
        <w:rPr>
          <w:rFonts w:ascii="Times New Roman" w:hAnsi="Times New Roman" w:cs="Times New Roman"/>
          <w:sz w:val="24"/>
          <w:szCs w:val="24"/>
        </w:rPr>
      </w:pPr>
      <w:r w:rsidRPr="0012129E">
        <w:rPr>
          <w:rFonts w:ascii="Times New Roman" w:hAnsi="Times New Roman" w:cs="Times New Roman"/>
          <w:sz w:val="24"/>
          <w:szCs w:val="24"/>
        </w:rPr>
        <w:t xml:space="preserve">Va, quindi, osservato in punto di diritto che con il termine "attività" deve intendersi ogni condotta che non sia caratterizzata da assoluta occasionalità, mentre la norma non richiede ulteriori requisiti di carattere soggettivo o oggettivo </w:t>
      </w:r>
      <w:proofErr w:type="spellStart"/>
      <w:r w:rsidRPr="0012129E">
        <w:rPr>
          <w:rFonts w:ascii="Times New Roman" w:hAnsi="Times New Roman" w:cs="Times New Roman"/>
          <w:sz w:val="24"/>
          <w:szCs w:val="24"/>
        </w:rPr>
        <w:t>perchè</w:t>
      </w:r>
      <w:proofErr w:type="spellEnd"/>
      <w:r w:rsidRPr="0012129E">
        <w:rPr>
          <w:rFonts w:ascii="Times New Roman" w:hAnsi="Times New Roman" w:cs="Times New Roman"/>
          <w:sz w:val="24"/>
          <w:szCs w:val="24"/>
        </w:rPr>
        <w:t xml:space="preserve"> sia integrata la fattispecie criminosa.</w:t>
      </w:r>
    </w:p>
    <w:p w:rsidR="0012129E" w:rsidRPr="0012129E" w:rsidRDefault="0012129E" w:rsidP="0012129E">
      <w:pPr>
        <w:spacing w:after="0" w:line="240" w:lineRule="auto"/>
        <w:jc w:val="both"/>
        <w:rPr>
          <w:rFonts w:ascii="Times New Roman" w:hAnsi="Times New Roman" w:cs="Times New Roman"/>
          <w:sz w:val="24"/>
          <w:szCs w:val="24"/>
        </w:rPr>
      </w:pPr>
      <w:r w:rsidRPr="0012129E">
        <w:rPr>
          <w:rFonts w:ascii="Times New Roman" w:hAnsi="Times New Roman" w:cs="Times New Roman"/>
          <w:sz w:val="24"/>
          <w:szCs w:val="24"/>
        </w:rPr>
        <w:t xml:space="preserve">Si tratta, infatti, di reato comune, in quanto può essere commesso da "chiunque", e non di reato proprio, </w:t>
      </w:r>
      <w:proofErr w:type="spellStart"/>
      <w:r w:rsidRPr="0012129E">
        <w:rPr>
          <w:rFonts w:ascii="Times New Roman" w:hAnsi="Times New Roman" w:cs="Times New Roman"/>
          <w:sz w:val="24"/>
          <w:szCs w:val="24"/>
        </w:rPr>
        <w:t>sicchè</w:t>
      </w:r>
      <w:proofErr w:type="spellEnd"/>
      <w:r w:rsidRPr="0012129E">
        <w:rPr>
          <w:rFonts w:ascii="Times New Roman" w:hAnsi="Times New Roman" w:cs="Times New Roman"/>
          <w:sz w:val="24"/>
          <w:szCs w:val="24"/>
        </w:rPr>
        <w:t xml:space="preserve"> non occorrono i requisiti della professionalità della condotta ovvero di un'organizzazione imprenditoriale della stessa, (sez. 3, 28.10.2009 n. 79 del 2010, Guglielmo, RV 245709) (sez. 3, 15.1.2008 n. 7462, Cozzoli, RV 239011).</w:t>
      </w:r>
    </w:p>
    <w:p w:rsidR="0012129E" w:rsidRPr="0012129E" w:rsidRDefault="0012129E" w:rsidP="0012129E">
      <w:pPr>
        <w:spacing w:after="0" w:line="240" w:lineRule="auto"/>
        <w:jc w:val="both"/>
        <w:rPr>
          <w:rFonts w:ascii="Times New Roman" w:hAnsi="Times New Roman" w:cs="Times New Roman"/>
          <w:sz w:val="24"/>
          <w:szCs w:val="24"/>
        </w:rPr>
      </w:pPr>
      <w:r w:rsidRPr="0012129E">
        <w:rPr>
          <w:rFonts w:ascii="Times New Roman" w:hAnsi="Times New Roman" w:cs="Times New Roman"/>
          <w:sz w:val="24"/>
          <w:szCs w:val="24"/>
        </w:rPr>
        <w:t>Orbene, sia la sentenza di primo grado che quella di appello hanno escluso con adeguata motivazione che la condotta posta in essere dagli imputati fosse meramente occasionale, in quanto la stessa necessitava di un minimo di organizzazione, sia pure rudimentale, secondo quanto desunto dalla quantità e diversa tipologia dei rifiuti, dall'impiego di un camion e di due persone per effettuarla.</w:t>
      </w:r>
    </w:p>
    <w:p w:rsidR="0012129E" w:rsidRPr="0012129E" w:rsidRDefault="0012129E" w:rsidP="0012129E">
      <w:pPr>
        <w:spacing w:after="0" w:line="240" w:lineRule="auto"/>
        <w:jc w:val="both"/>
        <w:rPr>
          <w:rFonts w:ascii="Times New Roman" w:hAnsi="Times New Roman" w:cs="Times New Roman"/>
          <w:sz w:val="24"/>
          <w:szCs w:val="24"/>
        </w:rPr>
      </w:pPr>
      <w:proofErr w:type="spellStart"/>
      <w:r w:rsidRPr="0012129E">
        <w:rPr>
          <w:rFonts w:ascii="Times New Roman" w:hAnsi="Times New Roman" w:cs="Times New Roman"/>
          <w:sz w:val="24"/>
          <w:szCs w:val="24"/>
        </w:rPr>
        <w:t>Sicchè</w:t>
      </w:r>
      <w:proofErr w:type="spellEnd"/>
      <w:r w:rsidRPr="0012129E">
        <w:rPr>
          <w:rFonts w:ascii="Times New Roman" w:hAnsi="Times New Roman" w:cs="Times New Roman"/>
          <w:sz w:val="24"/>
          <w:szCs w:val="24"/>
        </w:rPr>
        <w:t xml:space="preserve"> la censura dei ricorrenti si esaurisce in una contestazione in punto di fatto, inammissibile in sede di legittimità, dell'accertamento dei giudici di merito in ordine ai requisiti richiesti dalla legge per la configurazione del reato.</w:t>
      </w:r>
    </w:p>
    <w:p w:rsidR="0012129E" w:rsidRDefault="0012129E" w:rsidP="0012129E">
      <w:pPr>
        <w:spacing w:after="0" w:line="240" w:lineRule="auto"/>
        <w:jc w:val="both"/>
        <w:rPr>
          <w:rFonts w:ascii="Times New Roman" w:hAnsi="Times New Roman" w:cs="Times New Roman"/>
          <w:sz w:val="24"/>
          <w:szCs w:val="24"/>
        </w:rPr>
      </w:pPr>
      <w:r w:rsidRPr="0012129E">
        <w:rPr>
          <w:rFonts w:ascii="Times New Roman" w:hAnsi="Times New Roman" w:cs="Times New Roman"/>
          <w:sz w:val="24"/>
          <w:szCs w:val="24"/>
        </w:rPr>
        <w:t>Quanto alle censure afferenti al trattamento sanzionatorio anche esse si esauriscono in una contestazione della valutazione dei giudici di merito sul punto; valutazione che ha formato oggetto di adeguata motivazione.</w:t>
      </w:r>
    </w:p>
    <w:p w:rsidR="0012129E" w:rsidRPr="0012129E" w:rsidRDefault="0012129E" w:rsidP="0012129E">
      <w:pPr>
        <w:spacing w:after="0" w:line="240" w:lineRule="auto"/>
        <w:jc w:val="both"/>
        <w:rPr>
          <w:rFonts w:ascii="Times New Roman" w:hAnsi="Times New Roman" w:cs="Times New Roman"/>
          <w:sz w:val="24"/>
          <w:szCs w:val="24"/>
        </w:rPr>
      </w:pPr>
      <w:r w:rsidRPr="0012129E">
        <w:rPr>
          <w:rFonts w:ascii="Times New Roman" w:hAnsi="Times New Roman" w:cs="Times New Roman"/>
          <w:sz w:val="24"/>
          <w:szCs w:val="24"/>
        </w:rPr>
        <w:t>Per effetto di quanto affermato la sentenza impugnata deve essere annullata nei confronti del G. limitatamente all'omesso esame della richiesta di sostituzione della pena infinta con rinvio alla Corte territoriale. Il ricorso del predetto imputato va rigettato nel resto, così come va rigettato il ricorso del P. con le conseguenze di legge.</w:t>
      </w:r>
    </w:p>
    <w:p w:rsidR="003F05EF" w:rsidRDefault="003F05EF" w:rsidP="0012129E">
      <w:pPr>
        <w:spacing w:after="0" w:line="240" w:lineRule="auto"/>
        <w:jc w:val="both"/>
        <w:rPr>
          <w:rFonts w:ascii="Times New Roman" w:hAnsi="Times New Roman" w:cs="Times New Roman"/>
          <w:sz w:val="24"/>
          <w:szCs w:val="24"/>
        </w:rPr>
      </w:pPr>
    </w:p>
    <w:p w:rsidR="0012129E" w:rsidRPr="0012129E" w:rsidRDefault="0012129E" w:rsidP="0012129E">
      <w:pPr>
        <w:spacing w:after="0" w:line="240" w:lineRule="auto"/>
        <w:jc w:val="both"/>
        <w:rPr>
          <w:rFonts w:ascii="Times New Roman" w:hAnsi="Times New Roman" w:cs="Times New Roman"/>
          <w:sz w:val="24"/>
          <w:szCs w:val="24"/>
        </w:rPr>
      </w:pPr>
    </w:p>
    <w:sectPr w:rsidR="0012129E" w:rsidRPr="001212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29E"/>
    <w:rsid w:val="0012129E"/>
    <w:rsid w:val="001D2642"/>
    <w:rsid w:val="002E79CB"/>
    <w:rsid w:val="00310F37"/>
    <w:rsid w:val="003F05EF"/>
    <w:rsid w:val="00D235C7"/>
    <w:rsid w:val="00D949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D26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26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D26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26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943</Words>
  <Characters>5378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ADigirolamo</dc:creator>
  <cp:lastModifiedBy>ADigirolamo</cp:lastModifiedBy>
  <cp:revision>6</cp:revision>
  <cp:lastPrinted>2012-04-11T13:31:00Z</cp:lastPrinted>
  <dcterms:created xsi:type="dcterms:W3CDTF">2012-03-28T08:55:00Z</dcterms:created>
  <dcterms:modified xsi:type="dcterms:W3CDTF">2012-05-03T14:39:00Z</dcterms:modified>
</cp:coreProperties>
</file>