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A" w:rsidRPr="0079185E" w:rsidRDefault="005A089A" w:rsidP="005A089A">
      <w:pPr>
        <w:spacing w:line="240" w:lineRule="auto"/>
        <w:rPr>
          <w:sz w:val="24"/>
          <w:szCs w:val="24"/>
        </w:rPr>
      </w:pPr>
      <w:r w:rsidRPr="0079185E">
        <w:rPr>
          <w:noProof/>
          <w:sz w:val="24"/>
          <w:szCs w:val="24"/>
        </w:rPr>
        <w:drawing>
          <wp:inline distT="0" distB="0" distL="0" distR="0" wp14:anchorId="55330B59" wp14:editId="22473791">
            <wp:extent cx="2216785" cy="629920"/>
            <wp:effectExtent l="0" t="0" r="0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9A" w:rsidRPr="0079185E" w:rsidRDefault="005A089A" w:rsidP="005A089A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5A089A" w:rsidRPr="0079185E" w:rsidRDefault="005A089A" w:rsidP="005A089A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5A089A" w:rsidRPr="0079185E" w:rsidRDefault="005A089A" w:rsidP="005A089A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D.M. </w:t>
      </w:r>
      <w:r w:rsidR="0079185E"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>10</w:t>
      </w:r>
      <w:r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</w:t>
      </w:r>
      <w:r w:rsidR="0079185E"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>novembre</w:t>
      </w:r>
      <w:r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2016, n. 24</w:t>
      </w:r>
      <w:r w:rsidR="0079185E"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>8</w:t>
      </w:r>
      <w:r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> </w:t>
      </w:r>
    </w:p>
    <w:p w:rsidR="005A089A" w:rsidRPr="0079185E" w:rsidRDefault="005A089A" w:rsidP="005A089A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</w:p>
    <w:p w:rsidR="005A089A" w:rsidRPr="0079185E" w:rsidRDefault="0079185E" w:rsidP="0079185E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79185E">
        <w:rPr>
          <w:rFonts w:eastAsia="Calibri"/>
          <w:b/>
          <w:bCs/>
          <w:color w:val="00B050"/>
          <w:sz w:val="28"/>
          <w:szCs w:val="24"/>
          <w:lang w:eastAsia="en-US"/>
        </w:rPr>
        <w:t>Regolamento recante individuazione delle  opere  per  le  quali  sono necessari lavori o componenti di notevole contenuto tecnologico o  di rilevante complessità tecnica e dei  requisiti  di  specializzazione richiesti per la loro esecuzione, ai sensi  dell'articolo  89,  comma 11, del decreto legislativo 18 aprile 2016, n. 50.</w:t>
      </w:r>
      <w:r w:rsidRPr="0079185E">
        <w:rPr>
          <w:sz w:val="24"/>
          <w:szCs w:val="24"/>
        </w:rPr>
        <w:t xml:space="preserve"> </w:t>
      </w:r>
    </w:p>
    <w:p w:rsidR="005A089A" w:rsidRPr="0079185E" w:rsidRDefault="005A089A" w:rsidP="005A089A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5A089A" w:rsidRPr="0079185E" w:rsidRDefault="005A089A" w:rsidP="005A089A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79185E">
        <w:rPr>
          <w:rFonts w:eastAsia="Calibri"/>
          <w:sz w:val="24"/>
          <w:szCs w:val="24"/>
          <w:lang w:eastAsia="en-US"/>
        </w:rPr>
        <w:t xml:space="preserve">(GU Serie Generale n. </w:t>
      </w:r>
      <w:r w:rsidR="0079185E" w:rsidRPr="0079185E">
        <w:rPr>
          <w:rFonts w:eastAsia="Calibri"/>
          <w:sz w:val="24"/>
          <w:szCs w:val="24"/>
          <w:lang w:eastAsia="en-US"/>
        </w:rPr>
        <w:t>3</w:t>
      </w:r>
      <w:r w:rsidRPr="0079185E">
        <w:rPr>
          <w:rFonts w:eastAsia="Calibri"/>
          <w:sz w:val="24"/>
          <w:szCs w:val="24"/>
          <w:lang w:eastAsia="en-US"/>
        </w:rPr>
        <w:t xml:space="preserve"> del </w:t>
      </w:r>
      <w:r w:rsidR="0079185E" w:rsidRPr="0079185E">
        <w:rPr>
          <w:rFonts w:eastAsia="Calibri"/>
          <w:sz w:val="24"/>
          <w:szCs w:val="24"/>
          <w:lang w:eastAsia="en-US"/>
        </w:rPr>
        <w:t>4</w:t>
      </w:r>
      <w:r w:rsidRPr="0079185E">
        <w:rPr>
          <w:rFonts w:eastAsia="Calibri"/>
          <w:sz w:val="24"/>
          <w:szCs w:val="24"/>
          <w:lang w:eastAsia="en-US"/>
        </w:rPr>
        <w:t xml:space="preserve"> gennaio 2017)</w:t>
      </w:r>
    </w:p>
    <w:p w:rsidR="005A089A" w:rsidRPr="0079185E" w:rsidRDefault="005A089A" w:rsidP="005A089A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5A089A" w:rsidRPr="0079185E" w:rsidRDefault="005A089A" w:rsidP="005A089A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79185E">
        <w:rPr>
          <w:rFonts w:eastAsia="Calibri"/>
          <w:sz w:val="24"/>
          <w:szCs w:val="24"/>
          <w:lang w:eastAsia="en-US"/>
        </w:rPr>
        <w:t>-----------------------------------------------------------------------</w:t>
      </w:r>
    </w:p>
    <w:p w:rsidR="005A089A" w:rsidRPr="0079185E" w:rsidRDefault="005A089A" w:rsidP="005A089A">
      <w:pPr>
        <w:spacing w:line="240" w:lineRule="auto"/>
        <w:rPr>
          <w:sz w:val="24"/>
          <w:szCs w:val="24"/>
        </w:rPr>
      </w:pPr>
    </w:p>
    <w:p w:rsidR="005A089A" w:rsidRPr="0079185E" w:rsidRDefault="005A089A" w:rsidP="005A089A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>In vigore dal: 1</w:t>
      </w:r>
      <w:r w:rsidR="0079185E" w:rsidRPr="0079185E">
        <w:rPr>
          <w:sz w:val="24"/>
          <w:szCs w:val="24"/>
        </w:rPr>
        <w:t>9</w:t>
      </w:r>
      <w:r w:rsidRPr="0079185E">
        <w:rPr>
          <w:sz w:val="24"/>
          <w:szCs w:val="24"/>
        </w:rPr>
        <w:t>/01/2017</w:t>
      </w:r>
    </w:p>
    <w:p w:rsidR="005A089A" w:rsidRPr="0079185E" w:rsidRDefault="005A089A" w:rsidP="005A089A">
      <w:pPr>
        <w:spacing w:line="240" w:lineRule="auto"/>
        <w:rPr>
          <w:sz w:val="24"/>
          <w:szCs w:val="24"/>
        </w:rPr>
      </w:pPr>
    </w:p>
    <w:p w:rsidR="005A089A" w:rsidRPr="0079185E" w:rsidRDefault="005A089A" w:rsidP="005A089A">
      <w:pPr>
        <w:spacing w:line="240" w:lineRule="auto"/>
        <w:rPr>
          <w:sz w:val="24"/>
          <w:szCs w:val="24"/>
        </w:rPr>
      </w:pPr>
    </w:p>
    <w:p w:rsidR="0079185E" w:rsidRPr="0079185E" w:rsidRDefault="0079185E" w:rsidP="0079185E">
      <w:pPr>
        <w:spacing w:line="240" w:lineRule="auto"/>
        <w:rPr>
          <w:b/>
          <w:sz w:val="24"/>
          <w:szCs w:val="24"/>
        </w:rPr>
      </w:pPr>
      <w:r w:rsidRPr="0079185E">
        <w:rPr>
          <w:b/>
          <w:sz w:val="24"/>
          <w:szCs w:val="24"/>
        </w:rPr>
        <w:t xml:space="preserve">Art. 1 </w:t>
      </w:r>
    </w:p>
    <w:p w:rsidR="0079185E" w:rsidRPr="0079185E" w:rsidRDefault="0079185E" w:rsidP="0079185E">
      <w:pPr>
        <w:spacing w:line="240" w:lineRule="auto"/>
        <w:rPr>
          <w:i/>
          <w:sz w:val="24"/>
          <w:szCs w:val="24"/>
        </w:rPr>
      </w:pPr>
      <w:r w:rsidRPr="0079185E">
        <w:rPr>
          <w:i/>
          <w:sz w:val="24"/>
          <w:szCs w:val="24"/>
        </w:rPr>
        <w:t xml:space="preserve">Oggetto e ambito di applicazione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1.  In  attuazione  dell'articolo  89,  comma   11,   del   decreto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legislativo 18 aprile 2016, n. 50 (di seguito «Codice»), il  presente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decreto definisce l'elenco delle opere per le  quali  sono  necessari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lavori o componenti di notevole contenuto tecnologico o di  rilevante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complessit</w:t>
      </w:r>
      <w:r w:rsidR="00543B93">
        <w:rPr>
          <w:sz w:val="24"/>
          <w:szCs w:val="24"/>
        </w:rPr>
        <w:t xml:space="preserve">à </w:t>
      </w:r>
      <w:r w:rsidRPr="0079185E">
        <w:rPr>
          <w:sz w:val="24"/>
          <w:szCs w:val="24"/>
        </w:rPr>
        <w:t xml:space="preserve"> tecnica, quali strutture,  impianti  e  opere  speciali,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nonch</w:t>
      </w:r>
      <w:r w:rsidR="00543B93">
        <w:rPr>
          <w:sz w:val="24"/>
          <w:szCs w:val="24"/>
        </w:rPr>
        <w:t>é</w:t>
      </w:r>
      <w:r w:rsidRPr="0079185E">
        <w:rPr>
          <w:sz w:val="24"/>
          <w:szCs w:val="24"/>
        </w:rPr>
        <w:t xml:space="preserve">  i  requisiti  di  specializzazione  richiesti  per  la  loro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esecuzione.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2. Ai sensi dell'articolo 89, comma  11,  del  Codice  il  presente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decreto individua, in particolare, le  opere  per  le  quali  non  </w:t>
      </w:r>
      <w:r w:rsidR="00543B93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ammesso l'avvalimento, qualora il loro valore  superi  il  dieci  per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cento dell'importo totale  dei  lavori  e  per  le  quali,  ai  sensi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dell'articolo 105, comma 5 del  Codice,  l'eventuale  subappalto  non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pu</w:t>
      </w:r>
      <w:r w:rsidR="00543B93">
        <w:rPr>
          <w:sz w:val="24"/>
          <w:szCs w:val="24"/>
        </w:rPr>
        <w:t>ò</w:t>
      </w:r>
      <w:r w:rsidRPr="0079185E">
        <w:rPr>
          <w:sz w:val="24"/>
          <w:szCs w:val="24"/>
        </w:rPr>
        <w:t xml:space="preserve"> superare il trenta per cento dell'importo  delle  opere  e,  non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pu</w:t>
      </w:r>
      <w:r w:rsidR="00543B93">
        <w:rPr>
          <w:sz w:val="24"/>
          <w:szCs w:val="24"/>
        </w:rPr>
        <w:t>ò</w:t>
      </w:r>
      <w:r w:rsidRPr="0079185E">
        <w:rPr>
          <w:sz w:val="24"/>
          <w:szCs w:val="24"/>
        </w:rPr>
        <w:t xml:space="preserve"> essere, senza ragioni obiettive, suddiviso. Il limite di cui  al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presente comma non </w:t>
      </w:r>
      <w:r w:rsidR="00543B93">
        <w:rPr>
          <w:sz w:val="24"/>
          <w:szCs w:val="24"/>
        </w:rPr>
        <w:t>è</w:t>
      </w:r>
      <w:r w:rsidRPr="0079185E">
        <w:rPr>
          <w:sz w:val="24"/>
          <w:szCs w:val="24"/>
        </w:rPr>
        <w:t xml:space="preserve"> computato ai fini del raggiungimento del limite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di cui all'articolo 105, comma 2 del Codice.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3. Le opere di cui al presente decreto  sono  scorporabili  e  sono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indicate  nei  bandi  di  gara,  negli  avvisi  o  negli   inviti   a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partecipare. </w:t>
      </w:r>
    </w:p>
    <w:p w:rsid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                           </w:t>
      </w:r>
    </w:p>
    <w:p w:rsidR="0079185E" w:rsidRPr="0079185E" w:rsidRDefault="0079185E" w:rsidP="0079185E">
      <w:pPr>
        <w:spacing w:line="240" w:lineRule="auto"/>
        <w:rPr>
          <w:b/>
          <w:sz w:val="24"/>
          <w:szCs w:val="24"/>
        </w:rPr>
      </w:pPr>
      <w:r w:rsidRPr="0079185E">
        <w:rPr>
          <w:b/>
          <w:sz w:val="24"/>
          <w:szCs w:val="24"/>
        </w:rPr>
        <w:t xml:space="preserve">Art. 2 </w:t>
      </w:r>
    </w:p>
    <w:p w:rsidR="0079185E" w:rsidRPr="0079185E" w:rsidRDefault="0079185E" w:rsidP="0079185E">
      <w:pPr>
        <w:spacing w:line="240" w:lineRule="auto"/>
        <w:rPr>
          <w:i/>
          <w:sz w:val="24"/>
          <w:szCs w:val="24"/>
        </w:rPr>
      </w:pPr>
      <w:r w:rsidRPr="0079185E">
        <w:rPr>
          <w:i/>
          <w:sz w:val="24"/>
          <w:szCs w:val="24"/>
        </w:rPr>
        <w:t>Elenco delle opere per le quali sono necessari lavori o componenti di</w:t>
      </w:r>
      <w:r w:rsidRPr="0079185E">
        <w:rPr>
          <w:i/>
          <w:sz w:val="24"/>
          <w:szCs w:val="24"/>
        </w:rPr>
        <w:t xml:space="preserve"> </w:t>
      </w:r>
      <w:r w:rsidRPr="0079185E">
        <w:rPr>
          <w:i/>
          <w:sz w:val="24"/>
          <w:szCs w:val="24"/>
        </w:rPr>
        <w:t>notevole contenuto tecnologico o di rilevante complessit</w:t>
      </w:r>
      <w:r w:rsidR="00543B93">
        <w:rPr>
          <w:i/>
          <w:sz w:val="24"/>
          <w:szCs w:val="24"/>
        </w:rPr>
        <w:t xml:space="preserve">à </w:t>
      </w:r>
      <w:r w:rsidRPr="0079185E">
        <w:rPr>
          <w:i/>
          <w:sz w:val="24"/>
          <w:szCs w:val="24"/>
        </w:rPr>
        <w:t xml:space="preserve"> tecnica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1. Ai fini di cui all'articolo  1,  le  opere  per  le  quali  sono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necessari lavori o componenti di notevole contenuto tecnologico o  di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rilevante complessit</w:t>
      </w:r>
      <w:r w:rsidR="00543B93">
        <w:rPr>
          <w:sz w:val="24"/>
          <w:szCs w:val="24"/>
        </w:rPr>
        <w:t xml:space="preserve">à </w:t>
      </w:r>
      <w:r w:rsidRPr="0079185E">
        <w:rPr>
          <w:sz w:val="24"/>
          <w:szCs w:val="24"/>
        </w:rPr>
        <w:t xml:space="preserve"> tecnica sono  quelle  indicate  nelle  lettere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seguenti  come  descritte  all'allegato  A,  che  costituisce   parte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integrante del presente decreto: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a) OG 11 Impianti tecnologici;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b) OS 2-A Superfici decorate  di  beni  immobili  del  patrimonio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culturale e beni culturali mobili di  interesse  storico,  artistico,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archeologico ed etnoantropologico;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c) OS 2-B Beni  culturali  mobili  di  interesse  archivistico  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librario;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d) OS 4 Impianti elettromeccanici trasportatori;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e) OS 11 Apparecchiature strutturali speciali;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lastRenderedPageBreak/>
        <w:t xml:space="preserve">    f) OS 12-A Barriere stradali di sicurezza;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g) OS 12-B Barriere paramassi, </w:t>
      </w:r>
      <w:proofErr w:type="spellStart"/>
      <w:r w:rsidRPr="0079185E">
        <w:rPr>
          <w:sz w:val="24"/>
          <w:szCs w:val="24"/>
        </w:rPr>
        <w:t>fermaneve</w:t>
      </w:r>
      <w:proofErr w:type="spellEnd"/>
      <w:r w:rsidRPr="0079185E">
        <w:rPr>
          <w:sz w:val="24"/>
          <w:szCs w:val="24"/>
        </w:rPr>
        <w:t xml:space="preserve"> e simili;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h) OS 13 Strutture prefabbricate in cemento armato;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i) OS 14 Impianti di smaltimento e recupero di rifiuti;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l) OS 18-A Componenti strutturali in acciaio;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m) OS 18-B Componenti per facciate continue;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n) OS 21 Opere strutturali speciali;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o) OS 25 Scavi archeologici;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p) OS 30 Impianti interni elettrici, telefonici,  radiotelefonici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e televisivi;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q) OS 32 Strutture in legno. </w:t>
      </w:r>
    </w:p>
    <w:p w:rsid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                           </w:t>
      </w:r>
    </w:p>
    <w:p w:rsidR="0079185E" w:rsidRPr="0079185E" w:rsidRDefault="0079185E" w:rsidP="0079185E">
      <w:pPr>
        <w:spacing w:line="240" w:lineRule="auto"/>
        <w:rPr>
          <w:b/>
          <w:sz w:val="24"/>
          <w:szCs w:val="24"/>
        </w:rPr>
      </w:pPr>
      <w:r w:rsidRPr="0079185E">
        <w:rPr>
          <w:b/>
          <w:sz w:val="24"/>
          <w:szCs w:val="24"/>
        </w:rPr>
        <w:t xml:space="preserve">Art. 3 </w:t>
      </w:r>
    </w:p>
    <w:p w:rsidR="0079185E" w:rsidRPr="0079185E" w:rsidRDefault="0079185E" w:rsidP="0079185E">
      <w:pPr>
        <w:spacing w:line="240" w:lineRule="auto"/>
        <w:rPr>
          <w:i/>
          <w:sz w:val="24"/>
          <w:szCs w:val="24"/>
        </w:rPr>
      </w:pPr>
      <w:r w:rsidRPr="0079185E">
        <w:rPr>
          <w:i/>
          <w:sz w:val="24"/>
          <w:szCs w:val="24"/>
        </w:rPr>
        <w:t xml:space="preserve">Requisiti di specializzazione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1.  I  requisiti  di  specializzazione  che  devono  possedere  gli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operatori economici per l'esecuzione delle opere di cui  all'articolo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2 - fermi restando i requisiti previsti dall'articolo 83  del  codice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dei  contratti  pubblici  per  l'ottenimento   dell'attestazione   di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qualificazione da parte del sistema  unico  di  qualificazione  degli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operatori economici di lavori pubblici di  cui  all'articolo  84  del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medesimo codice - sono i seguenti: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a) nelle categorie OS 11, OS 12-A, OS 12-B, OS 13,  OS  18-A,  OS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18-B, OS 21 e OS 32, avere nel  proprio  organico  personale  tecnico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specializzato, appositamente formato e periodicamente aggiornato, per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la corretta installazione e messa in esercizio  dei  prodotti  e  dei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dispositivi da costruzione, anche complessi, impiegati nelle relative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categorie di lavori, nonch</w:t>
      </w:r>
      <w:r w:rsidR="00543B93">
        <w:rPr>
          <w:sz w:val="24"/>
          <w:szCs w:val="24"/>
        </w:rPr>
        <w:t>é</w:t>
      </w:r>
      <w:r w:rsidRPr="0079185E">
        <w:rPr>
          <w:sz w:val="24"/>
          <w:szCs w:val="24"/>
        </w:rPr>
        <w:t>, nei casi previsti dalle norme  tecniche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di  riferimento,  in  possesso  di  attestazioni  di   qualificazione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rilasciate da organismi riconosciuti;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b) nelle categorie OS 13, OS 18-A, OS 18-B e OS 32 disporre di un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adeguato  stabilimento  industriale   specificamente   adibito   alla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produzione dei beni oggetto della relativa categoria;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c) nella categoria OG 11 possedere, per ciascuna delle  categorie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di opere specializzate individuate  con  l'acronimo  OS  3  (impianti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idrico-sanitario, cucine, lavanderie), OS 28 (impianti termici  e  di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condizionamento) e OS 30  (impianti  interni  elettrici,  telefonici,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radiotelefonici e  televisivi),  almeno  la  percentuale  di  seguito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indicata dei requisiti di  ordine  speciale  previsti  per  l'importo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corrispondente alla classifica richiesta: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  1) categoria OS 3: 40 per cento;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  2) categoria OS 28: 70 per cento;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  3) categoria OS 30: 70 per cento.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2. L'operatore economico in possesso dei requisiti di cui al  comma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1, lettera c) nella  categoria  OG  11  pu</w:t>
      </w:r>
      <w:r w:rsidR="00543B93">
        <w:rPr>
          <w:sz w:val="24"/>
          <w:szCs w:val="24"/>
        </w:rPr>
        <w:t>ò</w:t>
      </w:r>
      <w:r w:rsidRPr="0079185E">
        <w:rPr>
          <w:sz w:val="24"/>
          <w:szCs w:val="24"/>
        </w:rPr>
        <w:t xml:space="preserve">  eseguire  i  lavori  in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ciascuna delle categorie OS 3, OS  28  e  OS  30  per  la  classifica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corrispondente a quella posseduta. I certificati  di  esecuzione  dei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lavori relativi alla categoria  OG  11  indicano,  oltre  all'importo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complessivo dei lavori riferito  alla  categoria  OG  11,  anche  gli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importi dei lavori riferiti a ciascuna delle  suddette  categorie  di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opere   specializzate   e   sono   utilizzati   unicamente   per   la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qualificazione nella categoria OG 11. </w:t>
      </w:r>
    </w:p>
    <w:p w:rsid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                             </w:t>
      </w:r>
    </w:p>
    <w:p w:rsidR="0079185E" w:rsidRPr="0079185E" w:rsidRDefault="0079185E" w:rsidP="0079185E">
      <w:pPr>
        <w:spacing w:line="240" w:lineRule="auto"/>
        <w:rPr>
          <w:b/>
          <w:sz w:val="24"/>
          <w:szCs w:val="24"/>
        </w:rPr>
      </w:pPr>
      <w:r w:rsidRPr="0079185E">
        <w:rPr>
          <w:b/>
          <w:sz w:val="24"/>
          <w:szCs w:val="24"/>
        </w:rPr>
        <w:t xml:space="preserve">Art. 4 </w:t>
      </w:r>
    </w:p>
    <w:p w:rsidR="0079185E" w:rsidRPr="0079185E" w:rsidRDefault="0079185E" w:rsidP="0079185E">
      <w:pPr>
        <w:spacing w:line="240" w:lineRule="auto"/>
        <w:rPr>
          <w:i/>
          <w:sz w:val="24"/>
          <w:szCs w:val="24"/>
        </w:rPr>
      </w:pPr>
      <w:r w:rsidRPr="0079185E">
        <w:rPr>
          <w:i/>
          <w:sz w:val="24"/>
          <w:szCs w:val="24"/>
        </w:rPr>
        <w:t xml:space="preserve">Disposizioni transitorie e finali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1. Il presente decreto si applica alle procedure e ai contratti per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i quali i bandi o avvisi con cui si indice la procedura di gara siano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pubblicati successivamente alla data  della  sua  entrata  in  vigore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nonch</w:t>
      </w:r>
      <w:r w:rsidR="00543B93">
        <w:rPr>
          <w:sz w:val="24"/>
          <w:szCs w:val="24"/>
        </w:rPr>
        <w:t>é</w:t>
      </w:r>
      <w:bookmarkStart w:id="0" w:name="_GoBack"/>
      <w:bookmarkEnd w:id="0"/>
      <w:r w:rsidRPr="0079185E">
        <w:rPr>
          <w:sz w:val="24"/>
          <w:szCs w:val="24"/>
        </w:rPr>
        <w:t>, in caso di contratti  senza  pubblicazione  di  bandi  o  di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avvisi,  qualora  non  siano  ancora  stati  inviati  gli  inviti   a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presentare le offerte. </w:t>
      </w:r>
    </w:p>
    <w:p w:rsid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2. Entro dodici mesi dalla data di entrata in vigore  del  presente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decreto, a seguito  di  apposito  monitoraggio  degli  effetti  dallo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stesso prodotti, si procede all'aggiornamento dello stesso. </w:t>
      </w:r>
      <w:r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                               </w:t>
      </w:r>
    </w:p>
    <w:p w:rsidR="0079185E" w:rsidRPr="0079185E" w:rsidRDefault="0079185E" w:rsidP="0079185E">
      <w:pPr>
        <w:spacing w:line="240" w:lineRule="auto"/>
        <w:rPr>
          <w:b/>
          <w:sz w:val="24"/>
          <w:szCs w:val="24"/>
        </w:rPr>
      </w:pPr>
      <w:r w:rsidRPr="0079185E">
        <w:rPr>
          <w:b/>
          <w:sz w:val="24"/>
          <w:szCs w:val="24"/>
        </w:rPr>
        <w:lastRenderedPageBreak/>
        <w:t xml:space="preserve">Art. 5 </w:t>
      </w:r>
    </w:p>
    <w:p w:rsidR="0079185E" w:rsidRPr="0079185E" w:rsidRDefault="0079185E" w:rsidP="0079185E">
      <w:pPr>
        <w:spacing w:line="240" w:lineRule="auto"/>
        <w:rPr>
          <w:i/>
          <w:sz w:val="24"/>
          <w:szCs w:val="24"/>
        </w:rPr>
      </w:pPr>
      <w:r w:rsidRPr="0079185E">
        <w:rPr>
          <w:i/>
          <w:sz w:val="24"/>
          <w:szCs w:val="24"/>
        </w:rPr>
        <w:t xml:space="preserve">Entrata in vigore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1. Il presente decreto </w:t>
      </w:r>
      <w:r w:rsidR="00543B93">
        <w:rPr>
          <w:sz w:val="24"/>
          <w:szCs w:val="24"/>
        </w:rPr>
        <w:t>è</w:t>
      </w:r>
      <w:r w:rsidRPr="0079185E">
        <w:rPr>
          <w:sz w:val="24"/>
          <w:szCs w:val="24"/>
        </w:rPr>
        <w:t xml:space="preserve"> inviato agli organi di controllo  per  la</w:t>
      </w:r>
      <w:r w:rsidR="00543B93"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>registrazione ed entra in vigore il  quindicesimo  giorno  successivo</w:t>
      </w:r>
      <w:r w:rsidR="00543B93"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alla data della sua pubblicazione nella Gazzetta Ufficiale. </w:t>
      </w:r>
    </w:p>
    <w:p w:rsidR="0079185E" w:rsidRPr="0079185E" w:rsidRDefault="0079185E" w:rsidP="0079185E">
      <w:pPr>
        <w:spacing w:line="240" w:lineRule="auto"/>
        <w:rPr>
          <w:sz w:val="24"/>
          <w:szCs w:val="24"/>
        </w:rPr>
      </w:pPr>
      <w:r w:rsidRPr="0079185E">
        <w:rPr>
          <w:sz w:val="24"/>
          <w:szCs w:val="24"/>
        </w:rPr>
        <w:t xml:space="preserve">  Il presente regolamento, munito  del  sigillo  dello  Stato,  sar</w:t>
      </w:r>
      <w:r w:rsidR="00543B93">
        <w:rPr>
          <w:sz w:val="24"/>
          <w:szCs w:val="24"/>
        </w:rPr>
        <w:t xml:space="preserve">à  </w:t>
      </w:r>
      <w:r w:rsidRPr="0079185E">
        <w:rPr>
          <w:sz w:val="24"/>
          <w:szCs w:val="24"/>
        </w:rPr>
        <w:t>inserito  nella  Raccolta  ufficiale  degli  atti   normativi   della</w:t>
      </w:r>
      <w:r w:rsidR="00543B93"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Repubblica italiana. </w:t>
      </w:r>
      <w:r w:rsidR="00543B93">
        <w:rPr>
          <w:sz w:val="24"/>
          <w:szCs w:val="24"/>
        </w:rPr>
        <w:t>È</w:t>
      </w:r>
      <w:r w:rsidRPr="0079185E">
        <w:rPr>
          <w:sz w:val="24"/>
          <w:szCs w:val="24"/>
        </w:rPr>
        <w:t xml:space="preserve"> fatto obbligo a chiunque spetti di osservarlo</w:t>
      </w:r>
      <w:r w:rsidR="00543B93">
        <w:rPr>
          <w:sz w:val="24"/>
          <w:szCs w:val="24"/>
        </w:rPr>
        <w:t xml:space="preserve"> </w:t>
      </w:r>
      <w:r w:rsidRPr="0079185E">
        <w:rPr>
          <w:sz w:val="24"/>
          <w:szCs w:val="24"/>
        </w:rPr>
        <w:t xml:space="preserve">e di farlo osservare. </w:t>
      </w:r>
    </w:p>
    <w:p w:rsidR="0079185E" w:rsidRPr="0079185E" w:rsidRDefault="0079185E" w:rsidP="005A089A">
      <w:pPr>
        <w:spacing w:line="240" w:lineRule="auto"/>
        <w:rPr>
          <w:sz w:val="24"/>
          <w:szCs w:val="24"/>
        </w:rPr>
      </w:pPr>
    </w:p>
    <w:p w:rsidR="0079185E" w:rsidRPr="0079185E" w:rsidRDefault="0079185E" w:rsidP="005A089A">
      <w:pPr>
        <w:spacing w:line="240" w:lineRule="auto"/>
        <w:rPr>
          <w:b/>
          <w:sz w:val="24"/>
          <w:szCs w:val="24"/>
        </w:rPr>
      </w:pPr>
    </w:p>
    <w:p w:rsidR="00543B93" w:rsidRPr="00543B93" w:rsidRDefault="00543B93" w:rsidP="00543B93">
      <w:pPr>
        <w:spacing w:line="240" w:lineRule="auto"/>
        <w:rPr>
          <w:b/>
          <w:sz w:val="24"/>
          <w:szCs w:val="24"/>
        </w:rPr>
      </w:pPr>
      <w:r w:rsidRPr="00543B93">
        <w:rPr>
          <w:b/>
          <w:sz w:val="24"/>
          <w:szCs w:val="24"/>
        </w:rPr>
        <w:t xml:space="preserve">Allegato A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OG 11: Impianti tecnologici.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Riguarda, nei limiti specificati all'articolo 3, lettera  c),  la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fornitura, l'installazione, la  gestione  e  la  manutenzione  di  un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insieme di impianti tecnologici tra loro coordinati ed  interconnessi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funzionalmente, non eseguibili separatamente, di cui  alle  categorie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di opere specializzate individuate con l'acronimo OS 3, OS  28  e  OS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30.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>OS 2-A: Superfici decorate di beni immobili del patrimonio  culturale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e beni culturali mobili di interesse storico, artistico, archeologico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ed etnoantropologico.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l'intervento diretto  di  restauro,  l'esecuzione  della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manutenzione ordinaria e straordinaria di: superfici decorate di beni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immobili del patrimonio culturale, manufatti lapidei, dipinti murali,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dipinti su tela, dipinti su tavola  o  su  altri  supporti  materici,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stucchi,  mosaici,  intonaci  dipinti  e   non   dipinti,   manufatti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polimaterici, manufatti in legno policromi e non policromi, manufatti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in osso, in avorio, in cera, manufatti ceramici e  vitrei,  manufatti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in metallo e  leghe,  materiali  e  manufatti  in  fibre  naturali  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artificiali,  manufatti  in  pelle  e  cuoio,   strumenti   musicali,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strumentazioni e strumenti scientifici e tecnici.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2-B: Beni culturali mobili di interesse archivistico e librario. 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    Riguarda l'intervento diretto  di  restauro,  l'esecuzione  della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manutenzione  ordinaria  e  straordinaria  di  manufatti  cartacei  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pergamenacei, di materiale fotografico e di supporti digitali.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4: Impianti elettromeccanici trasportatori.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 la  fornitura,  il  montaggio  e  la   manutenzione   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ristrutturazione d'impianti trasportatori, ascensori,  scale  mobili,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di sollevamento e  di  trasporto  completi  di  ogni  connessa  opera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muraria, complementare o accessoria, da realizzarsi in opere generali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che siano state gi</w:t>
      </w:r>
      <w:r>
        <w:rPr>
          <w:sz w:val="24"/>
          <w:szCs w:val="24"/>
        </w:rPr>
        <w:t xml:space="preserve">à </w:t>
      </w:r>
      <w:r w:rsidRPr="00543B93">
        <w:rPr>
          <w:sz w:val="24"/>
          <w:szCs w:val="24"/>
        </w:rPr>
        <w:t xml:space="preserve">realizzate o siano in corso di costruzione.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11: Apparecchiature strutturali speciali.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fornitura, la posa  in  opera  e  la  manutenzione  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ristrutturazione   di   dispositivi   strutturali,   quali   in   via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esemplificativa i giunti di dilatazione, gli apparecchi di  appoggio,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i dispositivi antisismici per ponti e viadotti stradali e  ferroviari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e i sistemi di precompressione a cavi post-tesi.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12-A: Barriere stradali di sicurezza.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fornitura, la posa  in  opera  e  la  manutenzione  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ristrutturazione dei dispositivi quali barriere, attenuatori  d'urto,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recinzioni e simili, finalizzati al contenimento  ed  alla  sicurezza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del flusso veicolare stradale.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12-B: Barriere paramassi, </w:t>
      </w:r>
      <w:proofErr w:type="spellStart"/>
      <w:r w:rsidRPr="00543B93">
        <w:rPr>
          <w:sz w:val="24"/>
          <w:szCs w:val="24"/>
        </w:rPr>
        <w:t>fermaneve</w:t>
      </w:r>
      <w:proofErr w:type="spellEnd"/>
      <w:r w:rsidRPr="00543B93">
        <w:rPr>
          <w:sz w:val="24"/>
          <w:szCs w:val="24"/>
        </w:rPr>
        <w:t xml:space="preserve"> e simili.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fornitura, la posa  in  opera  e  la  manutenzione  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ristrutturazione delle barriere paramassi e  simili,  finalizzata  al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contenimento ed alla protezione dalla caduta dei  massi  e  valanghe,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inclusi gli interventi con tecniche alpinistiche.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13: Strutture prefabbricate in cemento armato.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 la  produzione  in  stabilimento  industriale   ed   il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montaggio in opera  di  strutture  prefabbricate  in  cemento  armato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normale o precompresso.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14: Impianti di smaltimento e recupero dei rifiuti.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lastRenderedPageBreak/>
        <w:t xml:space="preserve">    Riguarda  la  costruzione   e   la   manutenzione   ordinaria   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straordinaria di impianti di termodistruzione dei rifiuti e  connessi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sistemi  di  trattamento  dei  fumi  e  di  recupero  dei  materiali,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comprensivi dei macchinari di preselezione, compostaggio e produzione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di combustibile derivato dai rifiuti, completi di ogni connessa opera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muraria, complementare o accessoria, puntuale o a rete.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18-A: Componenti strutturali in acciaio.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produzione in stabilimento ed il montaggio  in  opera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di strutture in acciaio.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18-B: Componenti per facciate continue.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produzione in stabilimento e il montaggio in opera di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facciate continue costituite da telai metallici ed elementi  modulari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in vetro o altro materiale.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21: Opere strutturali speciali.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costruzione di opere destinate a trasferire i carichi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di manufatti poggianti su terreni non  idonei  a  reggere  i  carichi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stessi, di opere destinate a conferire ai terreni caratteristiche  di</w:t>
      </w:r>
      <w:r>
        <w:rPr>
          <w:sz w:val="24"/>
          <w:szCs w:val="24"/>
        </w:rPr>
        <w:t xml:space="preserve"> resistenza e di indeformabilità</w:t>
      </w:r>
      <w:r w:rsidRPr="00543B93">
        <w:rPr>
          <w:sz w:val="24"/>
          <w:szCs w:val="24"/>
        </w:rPr>
        <w:t xml:space="preserve"> tali da  rendere  stabili  l'imposta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dei manufatti e da prevenire dissesti geologici, di opere per rendere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antisismiche le strutture esistenti e funzionanti.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Comprende  in  via  esemplificativa,  l'esecuzione  di  pali   di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qualsiasi tipo, di sottofondazioni, di palificate e muri di  sostegno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speciali, di ancoraggi, di opere per </w:t>
      </w:r>
      <w:r>
        <w:rPr>
          <w:sz w:val="24"/>
          <w:szCs w:val="24"/>
        </w:rPr>
        <w:t xml:space="preserve"> ripristinare  la  funzionalità </w:t>
      </w:r>
      <w:r w:rsidRPr="00543B93">
        <w:rPr>
          <w:sz w:val="24"/>
          <w:szCs w:val="24"/>
        </w:rPr>
        <w:t>statica  delle  strutture,  di  pozzi,  di  opere  per  garantire  la</w:t>
      </w:r>
      <w:r>
        <w:rPr>
          <w:sz w:val="24"/>
          <w:szCs w:val="24"/>
        </w:rPr>
        <w:t xml:space="preserve"> stabilità</w:t>
      </w:r>
      <w:r w:rsidRPr="00543B93">
        <w:rPr>
          <w:sz w:val="24"/>
          <w:szCs w:val="24"/>
        </w:rPr>
        <w:t xml:space="preserve">  dei   pendii   e   di   lavorazioni   speciali   per   il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prosciugamento,  l'impermeabilizzazione  ed  il   consolidamento   di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terreni.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25: Scavi archeologici.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gli  scavi</w:t>
      </w:r>
      <w:r>
        <w:rPr>
          <w:sz w:val="24"/>
          <w:szCs w:val="24"/>
        </w:rPr>
        <w:t xml:space="preserve">  archeologici  e  le  attività</w:t>
      </w:r>
      <w:r w:rsidRPr="00543B93">
        <w:rPr>
          <w:sz w:val="24"/>
          <w:szCs w:val="24"/>
        </w:rPr>
        <w:t xml:space="preserve">  strettamente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connesse.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>OS 30: Impianti interni  elettrici,  telefonici,  radiotelefonici,  e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televisivi.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la fornitura,  il  montaggio  e  la  manutenzione  o  la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ristrutturazione di impianti elettrici, telefonici,  radiotelefonici,</w:t>
      </w:r>
      <w:r>
        <w:rPr>
          <w:sz w:val="24"/>
          <w:szCs w:val="24"/>
        </w:rPr>
        <w:t xml:space="preserve"> televisivi nonché</w:t>
      </w:r>
      <w:r w:rsidRPr="00543B93">
        <w:rPr>
          <w:sz w:val="24"/>
          <w:szCs w:val="24"/>
        </w:rPr>
        <w:t xml:space="preserve"> di reti di trasmissione dati e simili, completi di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ogni  connessa  opera  muraria,  complementare   o   accessoria,   da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realizzarsi in interventi appartenenti alle  categorie  generali  che</w:t>
      </w:r>
      <w:r>
        <w:rPr>
          <w:sz w:val="24"/>
          <w:szCs w:val="24"/>
        </w:rPr>
        <w:t xml:space="preserve"> siano stati già</w:t>
      </w:r>
      <w:r w:rsidRPr="00543B93">
        <w:rPr>
          <w:sz w:val="24"/>
          <w:szCs w:val="24"/>
        </w:rPr>
        <w:t xml:space="preserve"> realizzati o siano in corso di costruzione.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OS 32: Strutture in legno. </w:t>
      </w:r>
    </w:p>
    <w:p w:rsidR="00543B93" w:rsidRPr="00543B93" w:rsidRDefault="00543B93" w:rsidP="00543B93">
      <w:pPr>
        <w:spacing w:line="240" w:lineRule="auto"/>
        <w:rPr>
          <w:sz w:val="24"/>
          <w:szCs w:val="24"/>
        </w:rPr>
      </w:pPr>
      <w:r w:rsidRPr="00543B93">
        <w:rPr>
          <w:sz w:val="24"/>
          <w:szCs w:val="24"/>
        </w:rPr>
        <w:t xml:space="preserve">    Riguarda  la  produzione  in  stabilimenti  industriali   ed   il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>montaggio  in  situ  di  strutture  costituite  di  elementi   lignei</w:t>
      </w:r>
      <w:r>
        <w:rPr>
          <w:sz w:val="24"/>
          <w:szCs w:val="24"/>
        </w:rPr>
        <w:t xml:space="preserve"> </w:t>
      </w:r>
      <w:r w:rsidRPr="00543B93">
        <w:rPr>
          <w:sz w:val="24"/>
          <w:szCs w:val="24"/>
        </w:rPr>
        <w:t xml:space="preserve">pretrattati. </w:t>
      </w:r>
    </w:p>
    <w:p w:rsidR="003B7CF7" w:rsidRPr="00543B93" w:rsidRDefault="003B7CF7" w:rsidP="00543B93">
      <w:pPr>
        <w:spacing w:line="240" w:lineRule="auto"/>
        <w:rPr>
          <w:sz w:val="24"/>
          <w:szCs w:val="24"/>
        </w:rPr>
      </w:pPr>
    </w:p>
    <w:sectPr w:rsidR="003B7CF7" w:rsidRPr="0054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A"/>
    <w:rsid w:val="003B7CF7"/>
    <w:rsid w:val="00543B93"/>
    <w:rsid w:val="005A089A"/>
    <w:rsid w:val="007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089A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9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089A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9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dcterms:created xsi:type="dcterms:W3CDTF">2017-01-23T13:37:00Z</dcterms:created>
  <dcterms:modified xsi:type="dcterms:W3CDTF">2017-01-23T13:46:00Z</dcterms:modified>
</cp:coreProperties>
</file>