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94E2" w14:textId="77777777" w:rsidR="00B6414B" w:rsidRDefault="00B6414B" w:rsidP="001468E3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bookmarkStart w:id="0" w:name="_GoBack"/>
      <w:bookmarkEnd w:id="0"/>
    </w:p>
    <w:p w14:paraId="259369CF" w14:textId="77777777" w:rsidR="00B6414B" w:rsidRDefault="00B6414B" w:rsidP="001468E3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14:paraId="4709E549" w14:textId="44A114BA" w:rsidR="00942D8C" w:rsidRPr="004C37D3" w:rsidRDefault="00942D8C" w:rsidP="00942D8C">
      <w:pPr>
        <w:tabs>
          <w:tab w:val="center" w:pos="4819"/>
          <w:tab w:val="right" w:pos="9638"/>
        </w:tabs>
        <w:spacing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4EE52003" wp14:editId="0897DA5F">
            <wp:extent cx="2220595" cy="628650"/>
            <wp:effectExtent l="0" t="0" r="0" b="635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0553" w14:textId="77777777" w:rsidR="00942D8C" w:rsidRPr="004C37D3" w:rsidRDefault="00942D8C" w:rsidP="00942D8C">
      <w:pPr>
        <w:spacing w:line="240" w:lineRule="auto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14:paraId="6C0F18E4" w14:textId="77777777" w:rsidR="00942D8C" w:rsidRPr="004C37D3" w:rsidRDefault="00942D8C" w:rsidP="00942D8C">
      <w:pPr>
        <w:spacing w:line="240" w:lineRule="auto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14:paraId="1A3AD792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4C37D3">
        <w:rPr>
          <w:rFonts w:eastAsia="Calibri"/>
          <w:b/>
          <w:bCs/>
          <w:color w:val="00B050"/>
          <w:sz w:val="28"/>
          <w:szCs w:val="24"/>
          <w:lang w:eastAsia="en-US"/>
        </w:rPr>
        <w:t>D.M. 15 luglio 2016, n. 173</w:t>
      </w:r>
    </w:p>
    <w:p w14:paraId="5E6CAF83" w14:textId="77777777" w:rsidR="00942D8C" w:rsidRPr="004C37D3" w:rsidRDefault="00942D8C" w:rsidP="00942D8C">
      <w:pPr>
        <w:spacing w:line="240" w:lineRule="auto"/>
        <w:ind w:firstLine="708"/>
        <w:rPr>
          <w:rFonts w:eastAsia="Calibri"/>
          <w:b/>
          <w:bCs/>
          <w:color w:val="00B050"/>
          <w:sz w:val="28"/>
          <w:szCs w:val="24"/>
          <w:lang w:eastAsia="en-US"/>
        </w:rPr>
      </w:pPr>
    </w:p>
    <w:p w14:paraId="0A962CA1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4C37D3">
        <w:rPr>
          <w:rFonts w:eastAsia="Calibri"/>
          <w:b/>
          <w:bCs/>
          <w:color w:val="00B050"/>
          <w:sz w:val="28"/>
          <w:szCs w:val="24"/>
          <w:lang w:eastAsia="en-US"/>
        </w:rPr>
        <w:t>Regolamento recante modalità e criteri tecnici per l'autorizzazione all'immersione in mare dei materiali di escavo di fondali marini.</w:t>
      </w:r>
      <w:r w:rsidRPr="004C37D3">
        <w:rPr>
          <w:rFonts w:ascii="Arial" w:hAnsi="Arial" w:cs="Arial"/>
          <w:b/>
          <w:bCs/>
          <w:color w:val="444444"/>
          <w:sz w:val="23"/>
          <w:szCs w:val="23"/>
        </w:rPr>
        <w:t xml:space="preserve"> </w:t>
      </w:r>
    </w:p>
    <w:p w14:paraId="3E3ACF84" w14:textId="77777777" w:rsidR="00942D8C" w:rsidRPr="004C37D3" w:rsidRDefault="00942D8C" w:rsidP="00942D8C">
      <w:pPr>
        <w:spacing w:line="240" w:lineRule="auto"/>
        <w:rPr>
          <w:rFonts w:eastAsia="Calibri"/>
          <w:bCs/>
          <w:color w:val="444444"/>
          <w:sz w:val="24"/>
          <w:szCs w:val="24"/>
          <w:lang w:eastAsia="en-US"/>
        </w:rPr>
      </w:pPr>
    </w:p>
    <w:p w14:paraId="7137C92D" w14:textId="77777777" w:rsidR="00942D8C" w:rsidRPr="004C37D3" w:rsidRDefault="00942D8C" w:rsidP="00942D8C">
      <w:pPr>
        <w:spacing w:line="24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(GU Serie Generale n. 208 del 6 settembre 2016 – </w:t>
      </w:r>
      <w:proofErr w:type="spellStart"/>
      <w:r w:rsidRPr="004C37D3">
        <w:rPr>
          <w:rFonts w:eastAsia="Calibri"/>
          <w:bCs/>
          <w:sz w:val="24"/>
          <w:szCs w:val="24"/>
          <w:lang w:eastAsia="en-US"/>
        </w:rPr>
        <w:t>Suppl</w:t>
      </w:r>
      <w:proofErr w:type="spellEnd"/>
      <w:r w:rsidRPr="004C37D3">
        <w:rPr>
          <w:rFonts w:eastAsia="Calibri"/>
          <w:bCs/>
          <w:sz w:val="24"/>
          <w:szCs w:val="24"/>
          <w:lang w:eastAsia="en-US"/>
        </w:rPr>
        <w:t xml:space="preserve">. </w:t>
      </w:r>
      <w:proofErr w:type="spellStart"/>
      <w:r w:rsidRPr="004C37D3">
        <w:rPr>
          <w:rFonts w:eastAsia="Calibri"/>
          <w:bCs/>
          <w:sz w:val="24"/>
          <w:szCs w:val="24"/>
          <w:lang w:eastAsia="en-US"/>
        </w:rPr>
        <w:t>Ord</w:t>
      </w:r>
      <w:proofErr w:type="spellEnd"/>
      <w:r w:rsidRPr="004C37D3">
        <w:rPr>
          <w:rFonts w:eastAsia="Calibri"/>
          <w:bCs/>
          <w:sz w:val="24"/>
          <w:szCs w:val="24"/>
          <w:lang w:eastAsia="en-US"/>
        </w:rPr>
        <w:t>. n. 40)</w:t>
      </w:r>
    </w:p>
    <w:p w14:paraId="042DB578" w14:textId="77777777" w:rsidR="00942D8C" w:rsidRPr="004C37D3" w:rsidRDefault="00942D8C" w:rsidP="00942D8C">
      <w:pPr>
        <w:spacing w:line="240" w:lineRule="auto"/>
        <w:jc w:val="center"/>
        <w:rPr>
          <w:rFonts w:eastAsia="Calibri"/>
          <w:bCs/>
          <w:color w:val="444444"/>
          <w:sz w:val="24"/>
          <w:szCs w:val="24"/>
          <w:lang w:eastAsia="en-US"/>
        </w:rPr>
      </w:pPr>
    </w:p>
    <w:p w14:paraId="68976248" w14:textId="77777777" w:rsidR="00942D8C" w:rsidRPr="004C37D3" w:rsidRDefault="00942D8C" w:rsidP="00942D8C">
      <w:pPr>
        <w:spacing w:line="24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>-----------------------------------------------------------------------</w:t>
      </w:r>
    </w:p>
    <w:p w14:paraId="12A24C03" w14:textId="77777777" w:rsidR="00942D8C" w:rsidRPr="004C37D3" w:rsidRDefault="00942D8C" w:rsidP="0094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sz w:val="24"/>
          <w:szCs w:val="24"/>
        </w:rPr>
      </w:pPr>
    </w:p>
    <w:p w14:paraId="774AB91F" w14:textId="77777777" w:rsidR="00942D8C" w:rsidRPr="004C37D3" w:rsidRDefault="00942D8C" w:rsidP="0094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sz w:val="24"/>
          <w:szCs w:val="24"/>
        </w:rPr>
      </w:pPr>
      <w:r w:rsidRPr="004C37D3">
        <w:rPr>
          <w:sz w:val="24"/>
          <w:szCs w:val="24"/>
        </w:rPr>
        <w:t>In vigore dal: 21/09/2016</w:t>
      </w:r>
    </w:p>
    <w:p w14:paraId="08ACD6A5" w14:textId="77777777" w:rsidR="00942D8C" w:rsidRPr="004C37D3" w:rsidRDefault="00942D8C" w:rsidP="00942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sz w:val="24"/>
          <w:szCs w:val="24"/>
        </w:rPr>
      </w:pPr>
    </w:p>
    <w:p w14:paraId="69B33F7F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1 </w:t>
      </w:r>
    </w:p>
    <w:p w14:paraId="1C97D6E3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Ambito di applicazione ed esclusioni </w:t>
      </w:r>
    </w:p>
    <w:p w14:paraId="081B7D96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1D5444F2" w14:textId="0C51BEDD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fine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tutela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dell'ambiente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marino,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presente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regolamento determina: </w:t>
      </w:r>
    </w:p>
    <w:p w14:paraId="77551F54" w14:textId="0ECAAB35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a) 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modalità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rilascio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dell'autorizzazione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all'articolo 109, comma 2, del decreto legislativo 3 aprile 2006,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n.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152, per l'immersione deliberata in mare dei materiali 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escavo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fondali marini o salmastri o di terreni litoranei emersi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comma 1, lettera a) del medesimo articolo 109; </w:t>
      </w:r>
    </w:p>
    <w:p w14:paraId="196B417B" w14:textId="252468A7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b) i criteri omogenei 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tutto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territorio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nazionale,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l'utilizzo di tali materiali ai fini di ripascimento o all'interno 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ambienti conterminati, ai quali le regioni conformano le modalità 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caratterizzazione, classificazione ed accettabilità dei materiali in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funzione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raggiungimento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mantenimento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degli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obiettivi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</w:p>
    <w:p w14:paraId="38E34B15" w14:textId="72846918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>qualità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ambientale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dei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corpi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idrici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marino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costieri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e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 xml:space="preserve">transizione; </w:t>
      </w:r>
    </w:p>
    <w:p w14:paraId="5D831780" w14:textId="67404F8E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c) la gestione dei materiali provenienti dal dragaggio delle aree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portuali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marino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costiere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comprese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siti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interesse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nazionale; </w:t>
      </w:r>
    </w:p>
    <w:p w14:paraId="7E212696" w14:textId="05793CEB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d) la gestione dei materiali provenienti dai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siti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interesse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nazionale risultanti da operazioni di dragaggio nelle aree portuali 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marino costiere, al di fuori di detti siti. </w:t>
      </w:r>
    </w:p>
    <w:p w14:paraId="58D24CD0" w14:textId="601EA287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2. Il presente regolamento non si applica: </w:t>
      </w:r>
    </w:p>
    <w:p w14:paraId="2FBBC603" w14:textId="2A2C503D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a) agli spostamenti 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ambito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portuale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operazioni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ripristino degli arenili, così come definite al successivo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articolo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2; </w:t>
      </w:r>
    </w:p>
    <w:p w14:paraId="52288FF0" w14:textId="6A698663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b)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movimentazioni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sedimenti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loco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funzionali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all'immersione 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all'articolo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109,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comma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1,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lettera b, del decreto legislativo 3 aprile 2006, n. 152. </w:t>
      </w:r>
    </w:p>
    <w:p w14:paraId="7926B915" w14:textId="0CE5A377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5D976518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2 </w:t>
      </w:r>
    </w:p>
    <w:p w14:paraId="140E3D56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Definizioni </w:t>
      </w:r>
    </w:p>
    <w:p w14:paraId="0153CA23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067E558B" w14:textId="23B9CCF1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1. Ai fini del presente regolamento si intende per: </w:t>
      </w:r>
    </w:p>
    <w:p w14:paraId="50F81835" w14:textId="6258ECA3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a) autorità competente: la regione costiera nel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territorio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avviene l'immersione dei materiali di cui all'articolo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ovvero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Ministero dell'ambiente e della tutela 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territorio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mare,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previa acquisizione del nulla osta da parte degli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enti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gestione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lastRenderedPageBreak/>
        <w:t>delle aree marine protette o dell'ente parco, 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autorizzazioni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relative ad immersioni deliberate in mare ricadenti in aree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protette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nazionali di cui alle leggi 31 dicembre 1982, n. 979,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6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dicembre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1991, n. 394; </w:t>
      </w:r>
    </w:p>
    <w:p w14:paraId="01BFB953" w14:textId="76AECE06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b) immersione deliberata in mare: deposizione di materiali di cui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all'articolo 1 in aree ubicate ad una distanza dalla costa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superiore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 3 (tre) miglia nautiche o oltre la batimetrica 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200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(duecento)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metri; </w:t>
      </w:r>
    </w:p>
    <w:p w14:paraId="26FADC03" w14:textId="6EBE8C0D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c) immersione in ambiente conterminato: utilizzo di 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 all'articolo 1 mediante deposizione in strutture 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contenimento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a diverso grado di permeabilità; </w:t>
      </w:r>
    </w:p>
    <w:p w14:paraId="00D72E12" w14:textId="3D0F056F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d) ripascimento: utilizzo 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all'articolo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</w:t>
      </w:r>
    </w:p>
    <w:p w14:paraId="0D87FB99" w14:textId="1CEA186A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>mediante apporto sulla spiaggia emersa e/o sommersa, prioritariamente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 xml:space="preserve">in relazione a fenomeni di erosione della costa; </w:t>
      </w:r>
    </w:p>
    <w:p w14:paraId="22AC361B" w14:textId="689D60D4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e) escavo di fondali marini: dragaggio di sedimenti marini per il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mantenimento, il miglioramento o il ripristino delle funzionalità 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bacini portuali, della riapertura 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foci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fluviali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parzialmente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totalmente ostruite per la realizzazione di infrastrutture 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ambito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portuale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costiero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prelievo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sabbie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fini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ripascimento; </w:t>
      </w:r>
    </w:p>
    <w:p w14:paraId="65DBA9BF" w14:textId="44AFA36E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f) spostamenti in ambito portuale: movimentazione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sedimenti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all'interno di strutture portuali per le attività 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rimodellamento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 fondali al fine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garantire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l'agibilità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degli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ormeggi,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sicurezza delle operazioni di accosto ovvero per il ripristino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navigabilità,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modalità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che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evitino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una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dispersione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sedimenti al di fuori del sito di intervento; </w:t>
      </w:r>
    </w:p>
    <w:p w14:paraId="7A55DD4D" w14:textId="0A3868C9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g) operazioni di ripristino degli arenili: tutte le attività che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si svolgono nell'ambito di uno stesso sito con ciclicità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stagionale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 comunque a seguito di mareggiate che hanno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determinato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l'accumulo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 materiali in una determinata area e consistenti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livellamento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delle superfici, mediante lo spargimento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ridistribuzione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sedimenti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accumulati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più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punti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stesso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sito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ripristino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degli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arenili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che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comportano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movimentazione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 per quantitativi inferiori 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20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(venti)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metri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cubi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metro lineare di spiaggia. </w:t>
      </w:r>
    </w:p>
    <w:p w14:paraId="4B17CB88" w14:textId="43080074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6AE80449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3 </w:t>
      </w:r>
    </w:p>
    <w:p w14:paraId="61F9433A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Caratterizzazione e classificazione dei materiali </w:t>
      </w:r>
    </w:p>
    <w:p w14:paraId="3294F8B0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469B96F4" w14:textId="4D7C1463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1. Ai fini del rilascio dell'autorizzazione di cui all'articolo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1,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comma 1, il richiedente provvede con oneri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proprio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carico,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caratterizzazione, alla classificazione e alla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individuazione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possibili opzioni di gestione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secondo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modalità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tecniche di cui all'allegato che forma parte integrante 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presente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decreto. </w:t>
      </w:r>
    </w:p>
    <w:p w14:paraId="59FAF524" w14:textId="7B183F46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0B9B5281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4 </w:t>
      </w:r>
    </w:p>
    <w:p w14:paraId="60B8CBF8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Modalità per il rilascio della autorizzazione alla immersione deliberata in mare </w:t>
      </w:r>
    </w:p>
    <w:p w14:paraId="2C75D046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271C5CA7" w14:textId="1912938F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L'immersione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deliberata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all'articolo 109, comma 1, lettera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a),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decreto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legislativo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3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aprile 2006, n. 152, fatta salva l'osservanza delle altre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specifiche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norme per la tutela dell'ambiente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marino,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può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essere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autorizzata</w:t>
      </w:r>
    </w:p>
    <w:p w14:paraId="19821DD0" w14:textId="4FD3D0A4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>dall'autorità competente per quei materiali di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escavo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dei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fondali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marini che sulla base della caratterizzazione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e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classificazione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cui all'articolo 3, siano compatibili con l'immersione in mare e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le quali siano state verificate le ulteriori opzioni di utilizzo</w:t>
      </w:r>
      <w:r w:rsidR="005B3B53"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>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37D3">
        <w:rPr>
          <w:rFonts w:eastAsia="Calibri"/>
          <w:bCs/>
          <w:sz w:val="24"/>
          <w:szCs w:val="24"/>
          <w:lang w:eastAsia="en-US"/>
        </w:rPr>
        <w:t xml:space="preserve">materiali di cui al successivo comma 3. </w:t>
      </w:r>
    </w:p>
    <w:p w14:paraId="62772912" w14:textId="01CF8274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2. L'autorizzazione di cui al comma 1 è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rilasciata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rispetto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delle indicazioni tecniche e operative relative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operazioni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escavo,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trasporto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immersione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individuazione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caratterizzazione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dell'area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marina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destinata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all'immersione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attività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monitoraggio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ambientale, di cui all'Allegato. </w:t>
      </w:r>
    </w:p>
    <w:p w14:paraId="7DF260CB" w14:textId="50AE9213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3. Il soggetto che intende ottenere l'autorizzazione all'immersione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deliberata in mare ai sensi del comma 1 presenta apposita domanda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autorizzazione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all'autorità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competente,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corredata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dalla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documentazione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tecnica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prevista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nell'allegato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idonea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documentazione intesa a dimostrare di aver prioritariamente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valutato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 opzioni di utilizzo dei materiali ai fini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ripascimento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immersione in ambiente conterminato, nonché le motivazioni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base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alle quali tali opzioni sono state scartate. </w:t>
      </w:r>
    </w:p>
    <w:p w14:paraId="4890D64E" w14:textId="6B95ACE0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4. Ai fini del rilascio dell'autorizzazione l'autorità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competente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acquisisce il parere della commissione consultiva locale per la pesca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 l'acquacoltura, ove istituita, o degli uffici regionali competenti,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che attesti la sostenibilità delle attività previste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riguardo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 risorse alieutiche e 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loro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compatibilità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pesca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l'acquacoltura, nonché i pareri delle autorità marittime competenti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 le aree interessate. Qualora le suddette amministrazioni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esprimano nei termini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previsti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norme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vigenti,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superato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termine di sessanta giorni dalla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richiesta,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l'Autorità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competente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può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procedere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comunque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all'adozione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provvedimento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finale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congruamente motivato. </w:t>
      </w:r>
    </w:p>
    <w:p w14:paraId="5CA71509" w14:textId="530F5EE1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5.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L'Autorità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competente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può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avvalersi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enti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istituti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pubblici per la valutazione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documentazione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tecnica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allegata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alla domanda. L'autorità competente può,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altresì,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richiedere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soggetto istante di cui al comma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3,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chiarimenti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approfondimenti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anche analitici da condurre secondo specifiche prescrizioni. </w:t>
      </w:r>
    </w:p>
    <w:p w14:paraId="3F052D72" w14:textId="35DB2744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6. Il procedimento di rilascio dell'autorizzazione di cui al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comma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1, si conclude con provvedimento espresso da adottarsi entro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novanta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giorni dalla data di presentazione della domanda di cui al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comma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3.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Nei casi di richiesta di integrazioni di cui al comma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5,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termini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 procedimento vengono interrotti sino al ricevimento 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suddetti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approfondimenti. </w:t>
      </w:r>
    </w:p>
    <w:p w14:paraId="0A641B24" w14:textId="4479D56B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7. Nel caso di interventi di competenza delle regioni, al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fine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adempiere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prescrizioni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contenute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convenzioni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internazionali vigenti sulla materia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presente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decreto,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l'autorità competente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è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tenuta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trasmettere,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tramite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dell'Autorità marittima, al Ministero dell'ambiente 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tutela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territorio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informazioni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tecniche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relative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all'autorizzazione rilasciata ai sensi del comma 1 e necessarie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compilazione del reporting annuale del dumping secondo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l'articolo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4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della </w:t>
      </w:r>
      <w:proofErr w:type="spellStart"/>
      <w:r w:rsidR="00942D8C" w:rsidRPr="004C37D3">
        <w:rPr>
          <w:rFonts w:eastAsia="Calibri"/>
          <w:bCs/>
          <w:sz w:val="24"/>
          <w:szCs w:val="24"/>
          <w:lang w:eastAsia="en-US"/>
        </w:rPr>
        <w:t>London</w:t>
      </w:r>
      <w:proofErr w:type="spellEnd"/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 Convention nonché l'articolo 9 del Protocollo del 1996. </w:t>
      </w:r>
    </w:p>
    <w:p w14:paraId="64C79EF1" w14:textId="2999C32E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8. L'autorizzazione all'immersione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deliberata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mare,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zone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ricadenti in aree protette nazionali di cui 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leggi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31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dicembre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1982, n. 979 e 6 dicembre 1991, n. 394, è rilasciata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Ministero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dell'ambiente e della tutela del territorio e del mare, previo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nulla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osta dell'ente parco o dell'ente gestore dell'area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marina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protetta,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 rispetto delle specifiche misure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salvaguardia,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soli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escavo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che,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base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risultanze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caratterizzazione, risultino compatibili con la classe di gestione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di cui all'allegato del presente decreto. </w:t>
      </w:r>
    </w:p>
    <w:p w14:paraId="25B54F13" w14:textId="2999BEAB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9. L'autorizzazione di cui al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comma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è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valida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l'intera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durata dei lavori di escavo e comunque non oltre trentasei mesi dalla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data di rilascio, fatto salvo quanto previsto nel successivo articolo 6. </w:t>
      </w:r>
    </w:p>
    <w:p w14:paraId="37A7600C" w14:textId="7DC20D6B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2B1C8587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5 </w:t>
      </w:r>
    </w:p>
    <w:p w14:paraId="003B455E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>Modalità per il rilascio dell'autorizzazione agli interventi diversi</w:t>
      </w:r>
    </w:p>
    <w:p w14:paraId="7CE0D8E6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dall'immersione deliberata in mare </w:t>
      </w:r>
    </w:p>
    <w:p w14:paraId="58EDE0C6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229765EF" w14:textId="123FE99E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L'autorizzazione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gli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interventi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ripascimento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immersione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ambiente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conterminato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all'articolo 109, comma 1,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lettera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decreto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legislativo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3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aprile 2006, n. 152, fatta salva l'osservanza delle altre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specifiche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norme per la tutela dell'ambiente marino, è rilasciata nel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rispetto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delle indicazioni tecniche e operative di cui all'allegato,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relative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 operazioni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escavo,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trasporto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immersione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materiali, alla individuazione e caratterizzazione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dell'area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marina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destinata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all'immersione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attività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monitoraggio ambientale. </w:t>
      </w:r>
    </w:p>
    <w:p w14:paraId="692FB8A4" w14:textId="13970569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2. Ai fini del rilascio dell'autorizzazione l'autorità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competente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acquisisce il parere della Commissione consultiva locale per la pesca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 l'acquacoltura, ove istituita, o degli uffici regionali competenti,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che attesti la sostenibilità delle attività previste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riguardo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 risorse alieutiche e 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loro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compatibilità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pesca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l'acquacoltura. Qualora le suddette amministrazioni non si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esprimano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nei termini previsti dalle norme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vigenti,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superato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termine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sessanta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giorni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richiesta,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l'autorità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competente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può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procedere comunque all'adozione del provvedimento finale congruamente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motivato. </w:t>
      </w:r>
    </w:p>
    <w:p w14:paraId="1CE43598" w14:textId="181A2A94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3. L'autorizzazione di cui al comma 1 è valida per l'intera durata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 lavori di escavo e comunque non oltre trentasei mesi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data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di rilascio, fatto salvo quanto previsto nel successivo articolo 6. </w:t>
      </w:r>
    </w:p>
    <w:p w14:paraId="79E8CFEC" w14:textId="77F2A421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737D8A6A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6 </w:t>
      </w:r>
    </w:p>
    <w:p w14:paraId="3234041D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Scheda di inquadramento dell'area di escavo </w:t>
      </w:r>
    </w:p>
    <w:p w14:paraId="108E8CE7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381CB99D" w14:textId="3ABB4A8D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1. La scheda di inquadramento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dell'area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escavo,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conforme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modello di cui all'allegato tecnico del presente decreto, deve essere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presentata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unitamente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all'istanza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finalizzata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ad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ottenere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l'autorizzazione alle operazioni. </w:t>
      </w:r>
    </w:p>
    <w:p w14:paraId="50213389" w14:textId="5F76E35E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2. La scheda di inquadramento dell'area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escavo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dovrà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essere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aggiornata ogni ventiquattro mesi 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comunque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seguito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eventi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eccezionali che possano aver determinato una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modifica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significativa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delle caratteristiche dei fondali. </w:t>
      </w:r>
    </w:p>
    <w:p w14:paraId="1DF09DD1" w14:textId="55F9A0F9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3. In presenza di una scheda di inquadramento dell'area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escavo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aggiornata nel rispetto delle prescrizioni di cui al precedente comma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2, l'autorità competente, su richiesta, può prorogare 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validità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dell'autorizzazione, rilasciata ai sensi dei precedenti articoli 4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5, di ulteriori trentasei mesi. </w:t>
      </w:r>
    </w:p>
    <w:p w14:paraId="32E32555" w14:textId="459D88D3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4F1BEF84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7 </w:t>
      </w:r>
    </w:p>
    <w:p w14:paraId="7DC07949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Modifica, sospensione o revoca della autorizzazione </w:t>
      </w:r>
    </w:p>
    <w:p w14:paraId="5BF9D9A8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4221DC45" w14:textId="26731526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1. L'autorizzazione di cui agli articoli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4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5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può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essere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qualsiasi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momento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modificata,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sospesa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revocata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dall'autorità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competente, con motivato provvedimento, nel caso in cui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titolare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non osservi le prescrizioni contenute nell'autorizzazione o 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tutti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casi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cui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risulti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garantita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compatibilità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operazioni effettuate con la salvaguardia dell'ambiente marino, delle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coste e di qualsiasi altro uso legittimo del mare. </w:t>
      </w:r>
    </w:p>
    <w:p w14:paraId="63BC1A6F" w14:textId="1050D978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2. Qualora si verifichino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situazioni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emergenza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nell'area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prelievo o di immersione, o fenomeni di inquinamento che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modifichino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 caratteristiche dei materiali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oggetto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autorizzazione,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Capo 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compartimento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marittimo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competente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può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procedere,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provvedimento motivato, all'immediata sospensione di tutte o di parte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attività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oggetto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dell'autorizzazione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anche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tempo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indeterminato,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fermo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restando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l'obbligo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darne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immediata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comunicazione all'autorità competente per l'eventuale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adozione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provvedimenti conseguenti. </w:t>
      </w:r>
    </w:p>
    <w:p w14:paraId="424EF25C" w14:textId="001B4B60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69B48BAF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8 </w:t>
      </w:r>
    </w:p>
    <w:p w14:paraId="4E5FB7BA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Verifiche, vigilanza, e monitoraggio </w:t>
      </w:r>
    </w:p>
    <w:p w14:paraId="49183DC6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275F4702" w14:textId="1AEE73C8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verifiche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ottemperanza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prescrizioni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contenute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nell'autorizzazione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sono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svolte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dall'autorità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competente.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vigilanza sul regolare svolgimento delle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attività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viene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espletata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dal Corpo delle capitanerie di porto - Guardia costiera.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Restano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capo al medesimo Corpo e agli altri organi di polizia giudiziaria, in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conformità al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dettato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dell'articolo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135,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comma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decreto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legislativo 3 aprile 2006 n. 152, l'accertamento e la repressione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eventuali violazioni. </w:t>
      </w:r>
    </w:p>
    <w:p w14:paraId="778ADF56" w14:textId="6DBC02F5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2. Le attività di monitoraggio di cui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all'allegato,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sono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svolte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 oneri a carico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soggetto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titolare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dell'autorizzazione.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relative risultanze devono essere illustrate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apposita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relazione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tecnica, che deve essere inviata all'autorità competente secondo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modalità definite nel provvedimento di autorizzazione. </w:t>
      </w:r>
    </w:p>
    <w:p w14:paraId="25A6DB48" w14:textId="2936188D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0D372882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9 </w:t>
      </w:r>
    </w:p>
    <w:p w14:paraId="1819C46B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Aggiornamento degli allegati </w:t>
      </w:r>
    </w:p>
    <w:p w14:paraId="2F90F166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42217C2A" w14:textId="7F4881CD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1. L'aggiornamento delle procedure tecniche 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operative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contenute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nell'allegato al presente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decreto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è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effettuato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decreto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Ministro dell'ambiente e della tutela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territorio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mare,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previa intesa con la Conferenza permanente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per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rapporti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tra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Stato, le regioni e le Province autonome di Trento e Bolzano. </w:t>
      </w:r>
    </w:p>
    <w:p w14:paraId="19A532F9" w14:textId="34CBDF22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71A13A85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4C37D3">
        <w:rPr>
          <w:rFonts w:eastAsia="Calibri"/>
          <w:b/>
          <w:bCs/>
          <w:sz w:val="24"/>
          <w:szCs w:val="24"/>
          <w:lang w:eastAsia="en-US"/>
        </w:rPr>
        <w:t xml:space="preserve">Art. 10 </w:t>
      </w:r>
    </w:p>
    <w:p w14:paraId="514EE5C5" w14:textId="77777777" w:rsidR="00942D8C" w:rsidRPr="004C37D3" w:rsidRDefault="00942D8C" w:rsidP="00942D8C">
      <w:pPr>
        <w:spacing w:line="240" w:lineRule="auto"/>
        <w:rPr>
          <w:rFonts w:eastAsia="Calibri"/>
          <w:bCs/>
          <w:i/>
          <w:sz w:val="24"/>
          <w:szCs w:val="24"/>
          <w:lang w:eastAsia="en-US"/>
        </w:rPr>
      </w:pPr>
      <w:r w:rsidRPr="004C37D3">
        <w:rPr>
          <w:rFonts w:eastAsia="Calibri"/>
          <w:bCs/>
          <w:i/>
          <w:sz w:val="24"/>
          <w:szCs w:val="24"/>
          <w:lang w:eastAsia="en-US"/>
        </w:rPr>
        <w:t xml:space="preserve">Disposizioni transitorie, finali e abrogazioni </w:t>
      </w:r>
    </w:p>
    <w:p w14:paraId="5AD18E4E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 w:rsidRPr="004C37D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7AEBB3E7" w14:textId="2EA7ABCF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1. Le caratterizzazioni e conseguenti classificazioni effettuate ai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sensi delle norme previgenti e ancora valide alla data di entrata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vigore del presente regolamento, nonché le autorizzazioni rilasciate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ai sensi delle succitate norme ancora in corso di validità alla data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di entrata in vigore del presente regolamento, sono fatte salve. </w:t>
      </w:r>
    </w:p>
    <w:p w14:paraId="5818D199" w14:textId="209989B7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2. A decorrere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entrata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vigore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presente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decreto,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sono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abrogate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tutte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norme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tecniche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relative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attività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disciplinate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presente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decreto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già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contenute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decreto del Ministero dell'ambiente del 24 gennaio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1996,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pubblicato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nella Gazzetta Ufficiale del 7 febbraio 1996. </w:t>
      </w:r>
    </w:p>
    <w:p w14:paraId="3620E838" w14:textId="2877DBE4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3. Sono comunque fatte salve tutte 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disposizioni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contenute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citato decreto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24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gennaio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1996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connesse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alle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attività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movimentazione di sedimenti marini per la posa in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opera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cavi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condotte sottomarine. </w:t>
      </w:r>
    </w:p>
    <w:p w14:paraId="277970D4" w14:textId="1BD0ED7D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4. L'allegato costituisce parte integrante del presente decreto. </w:t>
      </w:r>
    </w:p>
    <w:p w14:paraId="23D7FFE8" w14:textId="1841DAB5" w:rsidR="00942D8C" w:rsidRPr="004C37D3" w:rsidRDefault="005B3B53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Il presente decreto, munito del sigillo dello Stato, sarà inserito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nella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Raccolta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ufficiale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degli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atti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normativi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della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Repubblica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italiana. È fatto obbligo a chiunque spetti di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osservarlo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e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>farlo</w:t>
      </w:r>
      <w:r w:rsidR="00942D8C">
        <w:rPr>
          <w:rFonts w:eastAsia="Calibri"/>
          <w:bCs/>
          <w:sz w:val="24"/>
          <w:szCs w:val="24"/>
          <w:lang w:eastAsia="en-US"/>
        </w:rPr>
        <w:t xml:space="preserve"> </w:t>
      </w:r>
      <w:r w:rsidR="00942D8C" w:rsidRPr="004C37D3">
        <w:rPr>
          <w:rFonts w:eastAsia="Calibri"/>
          <w:bCs/>
          <w:sz w:val="24"/>
          <w:szCs w:val="24"/>
          <w:lang w:eastAsia="en-US"/>
        </w:rPr>
        <w:t xml:space="preserve">osservare. </w:t>
      </w:r>
    </w:p>
    <w:p w14:paraId="3081362F" w14:textId="77777777" w:rsidR="00942D8C" w:rsidRPr="004C37D3" w:rsidRDefault="00942D8C" w:rsidP="00942D8C">
      <w:pPr>
        <w:spacing w:line="240" w:lineRule="auto"/>
        <w:rPr>
          <w:rFonts w:eastAsia="Calibri"/>
          <w:bCs/>
          <w:sz w:val="24"/>
          <w:szCs w:val="24"/>
          <w:lang w:eastAsia="en-US"/>
        </w:rPr>
      </w:pPr>
    </w:p>
    <w:p w14:paraId="680866D0" w14:textId="77777777" w:rsidR="00942D8C" w:rsidRPr="004C37D3" w:rsidRDefault="00942D8C" w:rsidP="00942D8C">
      <w:pPr>
        <w:spacing w:line="240" w:lineRule="auto"/>
        <w:rPr>
          <w:rFonts w:eastAsia="Calibri"/>
          <w:b/>
          <w:bCs/>
          <w:sz w:val="24"/>
          <w:szCs w:val="24"/>
          <w:lang w:eastAsia="en-US"/>
        </w:rPr>
      </w:pPr>
      <w:hyperlink r:id="rId9" w:history="1">
        <w:r w:rsidRPr="004C37D3">
          <w:rPr>
            <w:rFonts w:eastAsia="Calibri"/>
            <w:b/>
            <w:bCs/>
            <w:color w:val="0000FF"/>
            <w:sz w:val="24"/>
            <w:szCs w:val="24"/>
            <w:u w:val="single"/>
            <w:lang w:eastAsia="en-US"/>
          </w:rPr>
          <w:t>Allegato tecnico</w:t>
        </w:r>
      </w:hyperlink>
    </w:p>
    <w:p w14:paraId="32748634" w14:textId="77777777" w:rsidR="001468E3" w:rsidRPr="00F50122" w:rsidRDefault="001468E3" w:rsidP="001468E3">
      <w:pPr>
        <w:spacing w:line="240" w:lineRule="auto"/>
      </w:pPr>
    </w:p>
    <w:p w14:paraId="3B4D3BA7" w14:textId="77777777" w:rsidR="001468E3" w:rsidRPr="00F50122" w:rsidRDefault="001468E3" w:rsidP="001468E3">
      <w:pPr>
        <w:spacing w:line="240" w:lineRule="auto"/>
        <w:rPr>
          <w:i/>
        </w:rPr>
      </w:pPr>
      <w:r w:rsidRPr="00F50122">
        <w:rPr>
          <w:b/>
        </w:rPr>
        <w:t xml:space="preserve"> </w:t>
      </w:r>
    </w:p>
    <w:p w14:paraId="1CF64971" w14:textId="77777777" w:rsidR="001468E3" w:rsidRPr="00F50122" w:rsidRDefault="001468E3" w:rsidP="001468E3">
      <w:pPr>
        <w:spacing w:line="240" w:lineRule="auto"/>
      </w:pPr>
      <w:r w:rsidRPr="00F50122">
        <w:t xml:space="preserve"> </w:t>
      </w:r>
    </w:p>
    <w:p w14:paraId="2F6C2A60" w14:textId="77777777" w:rsidR="001468E3" w:rsidRPr="009C432E" w:rsidRDefault="00A42CD9" w:rsidP="001468E3">
      <w:pPr>
        <w:spacing w:line="240" w:lineRule="auto"/>
        <w:jc w:val="center"/>
        <w:rPr>
          <w:b/>
          <w:sz w:val="28"/>
          <w:szCs w:val="28"/>
        </w:rPr>
      </w:pPr>
      <w:hyperlink r:id="rId10" w:history="1">
        <w:r w:rsidR="001468E3" w:rsidRPr="00F50122">
          <w:rPr>
            <w:rStyle w:val="Collegamentoipertestuale"/>
            <w:b/>
            <w:sz w:val="28"/>
            <w:szCs w:val="28"/>
          </w:rPr>
          <w:t>http://www.tuttoambiente.it/</w:t>
        </w:r>
      </w:hyperlink>
    </w:p>
    <w:p w14:paraId="63A272CC" w14:textId="77777777" w:rsidR="001468E3" w:rsidRPr="009C432E" w:rsidRDefault="001468E3" w:rsidP="001468E3">
      <w:pPr>
        <w:spacing w:line="240" w:lineRule="auto"/>
      </w:pPr>
    </w:p>
    <w:p w14:paraId="6A1AF8B6" w14:textId="77777777" w:rsidR="001468E3" w:rsidRPr="009C432E" w:rsidRDefault="001468E3" w:rsidP="001468E3">
      <w:pPr>
        <w:spacing w:line="240" w:lineRule="auto"/>
        <w:rPr>
          <w:i/>
          <w:sz w:val="24"/>
          <w:szCs w:val="24"/>
        </w:rPr>
      </w:pPr>
    </w:p>
    <w:p w14:paraId="27C460F2" w14:textId="77777777" w:rsidR="001468E3" w:rsidRPr="009C432E" w:rsidRDefault="001468E3" w:rsidP="001468E3">
      <w:pPr>
        <w:spacing w:line="240" w:lineRule="auto"/>
        <w:rPr>
          <w:i/>
          <w:sz w:val="24"/>
          <w:szCs w:val="24"/>
        </w:rPr>
      </w:pPr>
    </w:p>
    <w:p w14:paraId="33C7DCF0" w14:textId="77777777" w:rsidR="001468E3" w:rsidRPr="009C432E" w:rsidRDefault="001468E3" w:rsidP="001468E3">
      <w:pPr>
        <w:spacing w:line="240" w:lineRule="auto"/>
        <w:rPr>
          <w:i/>
          <w:sz w:val="24"/>
          <w:szCs w:val="24"/>
        </w:rPr>
      </w:pPr>
    </w:p>
    <w:p w14:paraId="15739F6F" w14:textId="77777777" w:rsidR="001468E3" w:rsidRPr="009C432E" w:rsidRDefault="001468E3" w:rsidP="001468E3">
      <w:pPr>
        <w:spacing w:line="240" w:lineRule="auto"/>
        <w:rPr>
          <w:i/>
          <w:sz w:val="24"/>
          <w:szCs w:val="24"/>
        </w:rPr>
      </w:pPr>
    </w:p>
    <w:p w14:paraId="0FB81A4D" w14:textId="77777777" w:rsidR="001468E3" w:rsidRPr="00CD3A7D" w:rsidRDefault="001468E3" w:rsidP="001468E3">
      <w:pPr>
        <w:spacing w:line="240" w:lineRule="auto"/>
        <w:rPr>
          <w:sz w:val="24"/>
          <w:szCs w:val="24"/>
        </w:rPr>
      </w:pPr>
    </w:p>
    <w:p w14:paraId="24D5BF8F" w14:textId="77777777" w:rsidR="005A6717" w:rsidRDefault="005A6717"/>
    <w:sectPr w:rsidR="005A6717" w:rsidSect="00D12039">
      <w:head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72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4075B" w14:textId="77777777" w:rsidR="001468E3" w:rsidRDefault="001468E3" w:rsidP="001468E3">
      <w:pPr>
        <w:spacing w:line="240" w:lineRule="auto"/>
      </w:pPr>
      <w:r>
        <w:separator/>
      </w:r>
    </w:p>
  </w:endnote>
  <w:endnote w:type="continuationSeparator" w:id="0">
    <w:p w14:paraId="7F46494E" w14:textId="77777777" w:rsidR="001468E3" w:rsidRDefault="001468E3" w:rsidP="00146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1D37" w14:textId="524E7AC5" w:rsidR="005A6D5A" w:rsidRPr="00B97E52" w:rsidRDefault="00A42CD9" w:rsidP="00B97E52">
    <w:pPr>
      <w:pStyle w:val="Pidipagina"/>
      <w:spacing w:line="240" w:lineRule="auto"/>
      <w:jc w:val="center"/>
      <w:rPr>
        <w:rFonts w:ascii="Book Antiqua" w:hAnsi="Book Antiqua"/>
        <w:b/>
        <w:bCs/>
        <w:i/>
        <w:iCs/>
        <w:color w:val="333333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2A4A5" w14:textId="77777777" w:rsidR="001468E3" w:rsidRDefault="001468E3" w:rsidP="001468E3">
      <w:pPr>
        <w:spacing w:line="240" w:lineRule="auto"/>
      </w:pPr>
      <w:r>
        <w:separator/>
      </w:r>
    </w:p>
  </w:footnote>
  <w:footnote w:type="continuationSeparator" w:id="0">
    <w:p w14:paraId="444BDC71" w14:textId="77777777" w:rsidR="001468E3" w:rsidRDefault="001468E3" w:rsidP="00146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0230" w14:textId="77777777" w:rsidR="005A6D5A" w:rsidRDefault="00A42CD9">
    <w:pPr>
      <w:pStyle w:val="Intestazione"/>
      <w:rPr>
        <w:i/>
        <w:noProof/>
        <w:sz w:val="24"/>
        <w:szCs w:val="24"/>
      </w:rPr>
    </w:pPr>
  </w:p>
  <w:p w14:paraId="1B3FEA12" w14:textId="77777777" w:rsidR="005A6D5A" w:rsidRPr="00D12039" w:rsidRDefault="00A42CD9">
    <w:pPr>
      <w:pStyle w:val="Intestazione"/>
      <w:rPr>
        <w:i/>
        <w:noProof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1F4EF" w14:textId="77777777" w:rsidR="005A6D5A" w:rsidRPr="00066209" w:rsidRDefault="00A42CD9" w:rsidP="004C3F58">
    <w:pPr>
      <w:pStyle w:val="Intestazione"/>
      <w:spacing w:line="240" w:lineRule="auto"/>
      <w:rPr>
        <w:rFonts w:ascii="Book Antiqua" w:hAnsi="Book Antiqua"/>
        <w:i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182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E0C89"/>
    <w:multiLevelType w:val="hybridMultilevel"/>
    <w:tmpl w:val="41E8DDE8"/>
    <w:lvl w:ilvl="0" w:tplc="0A20F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AB706"/>
    <w:multiLevelType w:val="hybridMultilevel"/>
    <w:tmpl w:val="27DB1AB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C3031A1"/>
    <w:multiLevelType w:val="multilevel"/>
    <w:tmpl w:val="7A3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F5A50"/>
    <w:multiLevelType w:val="hybridMultilevel"/>
    <w:tmpl w:val="CF2C743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FD1D35"/>
    <w:multiLevelType w:val="hybridMultilevel"/>
    <w:tmpl w:val="74F0A680"/>
    <w:lvl w:ilvl="0" w:tplc="0410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5081A10"/>
    <w:multiLevelType w:val="hybridMultilevel"/>
    <w:tmpl w:val="44A4C638"/>
    <w:lvl w:ilvl="0" w:tplc="44746508">
      <w:numFmt w:val="bullet"/>
      <w:lvlText w:val="-"/>
      <w:lvlJc w:val="left"/>
      <w:pPr>
        <w:ind w:left="720" w:hanging="360"/>
      </w:pPr>
      <w:rPr>
        <w:rFonts w:ascii="ComfortaaRegular" w:eastAsia="Times New Roman" w:hAnsi="ComfortaaRegular" w:cs="Arial" w:hint="default"/>
        <w:i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B6E"/>
    <w:multiLevelType w:val="hybridMultilevel"/>
    <w:tmpl w:val="747E8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668E6"/>
    <w:multiLevelType w:val="hybridMultilevel"/>
    <w:tmpl w:val="5344C032"/>
    <w:lvl w:ilvl="0" w:tplc="936ADA74">
      <w:numFmt w:val="bullet"/>
      <w:lvlText w:val="-"/>
      <w:lvlJc w:val="left"/>
      <w:pPr>
        <w:ind w:left="720" w:hanging="360"/>
      </w:pPr>
      <w:rPr>
        <w:rFonts w:ascii="ComfortaaRegular" w:eastAsia="Times New Roman" w:hAnsi="ComfortaaRegular" w:cs="Arial" w:hint="default"/>
        <w:i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65C7"/>
    <w:multiLevelType w:val="singleLevel"/>
    <w:tmpl w:val="9342C2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7E0005D"/>
    <w:multiLevelType w:val="hybridMultilevel"/>
    <w:tmpl w:val="5C4A200A"/>
    <w:lvl w:ilvl="0" w:tplc="0410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29137B7A"/>
    <w:multiLevelType w:val="multilevel"/>
    <w:tmpl w:val="780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F099C"/>
    <w:multiLevelType w:val="hybridMultilevel"/>
    <w:tmpl w:val="95AEB7A4"/>
    <w:lvl w:ilvl="0" w:tplc="622EE0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b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D4706"/>
    <w:multiLevelType w:val="hybridMultilevel"/>
    <w:tmpl w:val="73F03E3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A0128"/>
    <w:multiLevelType w:val="hybridMultilevel"/>
    <w:tmpl w:val="0F36F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75B22"/>
    <w:multiLevelType w:val="multilevel"/>
    <w:tmpl w:val="E76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71530"/>
    <w:multiLevelType w:val="hybridMultilevel"/>
    <w:tmpl w:val="F15A9076"/>
    <w:lvl w:ilvl="0" w:tplc="0410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C0D34"/>
    <w:multiLevelType w:val="hybridMultilevel"/>
    <w:tmpl w:val="5D806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433F6"/>
    <w:multiLevelType w:val="hybridMultilevel"/>
    <w:tmpl w:val="65F606B6"/>
    <w:lvl w:ilvl="0" w:tplc="EB06FCFA">
      <w:start w:val="1"/>
      <w:numFmt w:val="upperRoman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8E31DC"/>
    <w:multiLevelType w:val="hybridMultilevel"/>
    <w:tmpl w:val="1DFCC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40F06"/>
    <w:multiLevelType w:val="hybridMultilevel"/>
    <w:tmpl w:val="4FC6B6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CE18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A0D29"/>
    <w:multiLevelType w:val="hybridMultilevel"/>
    <w:tmpl w:val="95345108"/>
    <w:lvl w:ilvl="0" w:tplc="F932B3A6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96F40"/>
    <w:multiLevelType w:val="hybridMultilevel"/>
    <w:tmpl w:val="9208B864"/>
    <w:lvl w:ilvl="0" w:tplc="7368EDEE">
      <w:start w:val="1"/>
      <w:numFmt w:val="upperRoman"/>
      <w:lvlText w:val="%1-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7006C2"/>
    <w:multiLevelType w:val="hybridMultilevel"/>
    <w:tmpl w:val="B7921494"/>
    <w:lvl w:ilvl="0" w:tplc="7878167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A7892"/>
    <w:multiLevelType w:val="hybridMultilevel"/>
    <w:tmpl w:val="3A460CB2"/>
    <w:lvl w:ilvl="0" w:tplc="609A7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7C85F5F"/>
    <w:multiLevelType w:val="hybridMultilevel"/>
    <w:tmpl w:val="2F868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73245"/>
    <w:multiLevelType w:val="multilevel"/>
    <w:tmpl w:val="A10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74CA5"/>
    <w:multiLevelType w:val="hybridMultilevel"/>
    <w:tmpl w:val="CA6C2CC6"/>
    <w:lvl w:ilvl="0" w:tplc="383A96F6">
      <w:start w:val="2"/>
      <w:numFmt w:val="bullet"/>
      <w:lvlText w:val="-"/>
      <w:lvlJc w:val="left"/>
      <w:pPr>
        <w:ind w:left="720" w:hanging="360"/>
      </w:pPr>
      <w:rPr>
        <w:rFonts w:ascii="ComfortaaRegular" w:eastAsia="Times New Roman" w:hAnsi="ComfortaaRegula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D31FA"/>
    <w:multiLevelType w:val="hybridMultilevel"/>
    <w:tmpl w:val="1124D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D7BC7"/>
    <w:multiLevelType w:val="hybridMultilevel"/>
    <w:tmpl w:val="9A8EC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9"/>
  </w:num>
  <w:num w:numId="12">
    <w:abstractNumId w:val="30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20"/>
  </w:num>
  <w:num w:numId="16">
    <w:abstractNumId w:val="15"/>
  </w:num>
  <w:num w:numId="17">
    <w:abstractNumId w:val="2"/>
  </w:num>
  <w:num w:numId="18">
    <w:abstractNumId w:val="25"/>
  </w:num>
  <w:num w:numId="19">
    <w:abstractNumId w:val="9"/>
  </w:num>
  <w:num w:numId="20">
    <w:abstractNumId w:val="7"/>
  </w:num>
  <w:num w:numId="21">
    <w:abstractNumId w:val="19"/>
  </w:num>
  <w:num w:numId="22">
    <w:abstractNumId w:val="23"/>
  </w:num>
  <w:num w:numId="23">
    <w:abstractNumId w:val="22"/>
  </w:num>
  <w:num w:numId="24">
    <w:abstractNumId w:val="24"/>
  </w:num>
  <w:num w:numId="25">
    <w:abstractNumId w:val="28"/>
  </w:num>
  <w:num w:numId="26">
    <w:abstractNumId w:val="0"/>
  </w:num>
  <w:num w:numId="27">
    <w:abstractNumId w:val="27"/>
  </w:num>
  <w:num w:numId="28">
    <w:abstractNumId w:val="4"/>
  </w:num>
  <w:num w:numId="29">
    <w:abstractNumId w:val="12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E3"/>
    <w:rsid w:val="001468E3"/>
    <w:rsid w:val="005A6717"/>
    <w:rsid w:val="005B3B53"/>
    <w:rsid w:val="00616F2D"/>
    <w:rsid w:val="007D1C19"/>
    <w:rsid w:val="00942D8C"/>
    <w:rsid w:val="00A42CD9"/>
    <w:rsid w:val="00B6414B"/>
    <w:rsid w:val="00CA7076"/>
    <w:rsid w:val="00F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00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1468E3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468E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46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468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1468E3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1468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1468E3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rsid w:val="001468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Pidipagina">
    <w:name w:val="footer"/>
    <w:basedOn w:val="Normale"/>
    <w:link w:val="PidipaginaCarattere"/>
    <w:rsid w:val="00146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Mappadocumento">
    <w:name w:val="Document Map"/>
    <w:basedOn w:val="Normale"/>
    <w:link w:val="MappadocumentoCarattere"/>
    <w:semiHidden/>
    <w:rsid w:val="001468E3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1468E3"/>
    <w:rPr>
      <w:rFonts w:ascii="Tahoma" w:eastAsia="Times New Roman" w:hAnsi="Tahoma" w:cs="Times New Roman"/>
      <w:sz w:val="22"/>
      <w:szCs w:val="20"/>
      <w:shd w:val="clear" w:color="auto" w:fill="000080"/>
    </w:rPr>
  </w:style>
  <w:style w:type="paragraph" w:styleId="Corpodeltesto">
    <w:name w:val="Body Text"/>
    <w:basedOn w:val="Normale"/>
    <w:link w:val="CorpodeltestoCarattere"/>
    <w:rsid w:val="001468E3"/>
    <w:rPr>
      <w:b/>
      <w:bCs/>
      <w:i/>
      <w:iCs/>
    </w:rPr>
  </w:style>
  <w:style w:type="character" w:customStyle="1" w:styleId="CorpodeltestoCarattere">
    <w:name w:val="Corpo del testo Carattere"/>
    <w:basedOn w:val="Caratterepredefinitoparagrafo"/>
    <w:link w:val="Corpodeltesto"/>
    <w:rsid w:val="001468E3"/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paragraph" w:styleId="Corpodeltesto2">
    <w:name w:val="Body Text 2"/>
    <w:basedOn w:val="Normale"/>
    <w:link w:val="Corpodeltesto2Carattere"/>
    <w:rsid w:val="001468E3"/>
  </w:style>
  <w:style w:type="character" w:customStyle="1" w:styleId="Corpodeltesto2Carattere">
    <w:name w:val="Corpo del testo 2 Carattere"/>
    <w:basedOn w:val="Caratterepredefinitoparagrafo"/>
    <w:link w:val="Corpodeltesto2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Corpodeltesto3">
    <w:name w:val="Body Text 3"/>
    <w:basedOn w:val="Normale"/>
    <w:link w:val="Corpodeltesto3Carattere"/>
    <w:rsid w:val="001468E3"/>
    <w:rPr>
      <w:i/>
      <w:iCs/>
    </w:rPr>
  </w:style>
  <w:style w:type="character" w:customStyle="1" w:styleId="Corpodeltesto3Carattere">
    <w:name w:val="Corpo del testo 3 Carattere"/>
    <w:basedOn w:val="Caratterepredefinitoparagrafo"/>
    <w:link w:val="Corpodeltesto3"/>
    <w:rsid w:val="001468E3"/>
    <w:rPr>
      <w:rFonts w:ascii="Times New Roman" w:eastAsia="Times New Roman" w:hAnsi="Times New Roman" w:cs="Times New Roman"/>
      <w:i/>
      <w:iCs/>
      <w:sz w:val="22"/>
      <w:szCs w:val="20"/>
    </w:rPr>
  </w:style>
  <w:style w:type="paragraph" w:styleId="Rientrocorpodeltesto2">
    <w:name w:val="Body Text Indent 2"/>
    <w:basedOn w:val="Normale"/>
    <w:link w:val="Rientrocorpodeltesto2Carattere"/>
    <w:rsid w:val="001468E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1468E3"/>
    <w:rPr>
      <w:rFonts w:ascii="Times New Roman" w:eastAsia="Times New Roman" w:hAnsi="Times New Roman" w:cs="Times New Roman"/>
      <w:sz w:val="22"/>
      <w:szCs w:val="20"/>
    </w:rPr>
  </w:style>
  <w:style w:type="paragraph" w:customStyle="1" w:styleId="Stile1">
    <w:name w:val="Stile1"/>
    <w:basedOn w:val="Normale"/>
    <w:autoRedefine/>
    <w:rsid w:val="001468E3"/>
    <w:pPr>
      <w:ind w:left="57" w:firstLine="709"/>
    </w:pPr>
  </w:style>
  <w:style w:type="paragraph" w:customStyle="1" w:styleId="Stile2">
    <w:name w:val="Stile2"/>
    <w:basedOn w:val="Normale"/>
    <w:autoRedefine/>
    <w:rsid w:val="001468E3"/>
    <w:pPr>
      <w:ind w:left="113" w:firstLine="709"/>
    </w:pPr>
  </w:style>
  <w:style w:type="paragraph" w:customStyle="1" w:styleId="Stile3">
    <w:name w:val="Stile3"/>
    <w:basedOn w:val="Testonotaapidipagina"/>
    <w:autoRedefine/>
    <w:rsid w:val="001468E3"/>
    <w:rPr>
      <w:bCs/>
      <w:iCs/>
      <w:szCs w:val="22"/>
    </w:rPr>
  </w:style>
  <w:style w:type="paragraph" w:styleId="Testonotaapidipagina">
    <w:name w:val="footnote text"/>
    <w:basedOn w:val="Normale"/>
    <w:link w:val="TestonotaapidipaginaCarattere"/>
    <w:autoRedefine/>
    <w:semiHidden/>
    <w:rsid w:val="001468E3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1468E3"/>
    <w:rPr>
      <w:rFonts w:ascii="Times New Roman" w:eastAsia="Times New Roman" w:hAnsi="Times New Roman" w:cs="Times New Roman"/>
      <w:sz w:val="20"/>
      <w:szCs w:val="20"/>
    </w:rPr>
  </w:style>
  <w:style w:type="paragraph" w:customStyle="1" w:styleId="Stile4">
    <w:name w:val="Stile4"/>
    <w:basedOn w:val="Testonotaapidipagina"/>
    <w:autoRedefine/>
    <w:rsid w:val="001468E3"/>
    <w:rPr>
      <w:rFonts w:eastAsia="SimSun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146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68E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68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Rientrocorpodeltesto">
    <w:name w:val="Body Text Indent"/>
    <w:basedOn w:val="Normale"/>
    <w:link w:val="RientrocorpodeltestoCarattere"/>
    <w:rsid w:val="001468E3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1468E3"/>
    <w:rPr>
      <w:rFonts w:ascii="Times New Roman" w:eastAsia="Times New Roman" w:hAnsi="Times New Roman" w:cs="Times New Roman"/>
    </w:rPr>
  </w:style>
  <w:style w:type="character" w:customStyle="1" w:styleId="normal1">
    <w:name w:val="normal1"/>
    <w:rsid w:val="001468E3"/>
  </w:style>
  <w:style w:type="paragraph" w:styleId="PreformattatoHTML">
    <w:name w:val="HTML Preformatted"/>
    <w:basedOn w:val="Normale"/>
    <w:link w:val="PreformattatoHTMLCarattere"/>
    <w:uiPriority w:val="99"/>
    <w:unhideWhenUsed/>
    <w:rsid w:val="0014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468E3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1468E3"/>
    <w:rPr>
      <w:b/>
      <w:bCs/>
    </w:rPr>
  </w:style>
  <w:style w:type="character" w:customStyle="1" w:styleId="riferimento">
    <w:name w:val="riferimento"/>
    <w:rsid w:val="001468E3"/>
  </w:style>
  <w:style w:type="character" w:styleId="Collegamentoipertestuale">
    <w:name w:val="Hyperlink"/>
    <w:uiPriority w:val="99"/>
    <w:rsid w:val="001468E3"/>
    <w:rPr>
      <w:color w:val="0000FF"/>
      <w:u w:val="single"/>
    </w:rPr>
  </w:style>
  <w:style w:type="character" w:styleId="Collegamentovisitato">
    <w:name w:val="FollowedHyperlink"/>
    <w:uiPriority w:val="99"/>
    <w:rsid w:val="001468E3"/>
    <w:rPr>
      <w:color w:val="800080"/>
      <w:u w:val="single"/>
    </w:rPr>
  </w:style>
  <w:style w:type="character" w:customStyle="1" w:styleId="riferimento2">
    <w:name w:val="riferimento2"/>
    <w:rsid w:val="001468E3"/>
    <w:rPr>
      <w:color w:val="4A970B"/>
    </w:rPr>
  </w:style>
  <w:style w:type="paragraph" w:customStyle="1" w:styleId="grassetto">
    <w:name w:val="grassetto"/>
    <w:basedOn w:val="Normale"/>
    <w:rsid w:val="001468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Enfasicorsivo">
    <w:name w:val="Emphasis"/>
    <w:uiPriority w:val="20"/>
    <w:qFormat/>
    <w:rsid w:val="001468E3"/>
    <w:rPr>
      <w:i/>
      <w:iCs/>
    </w:rPr>
  </w:style>
  <w:style w:type="character" w:customStyle="1" w:styleId="PreformattatoHTMLCarattere1">
    <w:name w:val="Preformattato HTML Carattere1"/>
    <w:uiPriority w:val="99"/>
    <w:semiHidden/>
    <w:rsid w:val="001468E3"/>
    <w:rPr>
      <w:rFonts w:ascii="Consolas" w:hAnsi="Consolas" w:cs="Consolas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468E3"/>
  </w:style>
  <w:style w:type="numbering" w:customStyle="1" w:styleId="Nessunelenco11">
    <w:name w:val="Nessun elenco11"/>
    <w:next w:val="Nessunelenco"/>
    <w:uiPriority w:val="99"/>
    <w:semiHidden/>
    <w:unhideWhenUsed/>
    <w:rsid w:val="001468E3"/>
  </w:style>
  <w:style w:type="paragraph" w:styleId="NormaleWeb">
    <w:name w:val="Normal (Web)"/>
    <w:basedOn w:val="Normale"/>
    <w:uiPriority w:val="99"/>
    <w:unhideWhenUsed/>
    <w:rsid w:val="001468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dentro">
    <w:name w:val="dentro"/>
    <w:rsid w:val="001468E3"/>
  </w:style>
  <w:style w:type="numbering" w:customStyle="1" w:styleId="Nessunelenco2">
    <w:name w:val="Nessun elenco2"/>
    <w:next w:val="Nessunelenco"/>
    <w:uiPriority w:val="99"/>
    <w:semiHidden/>
    <w:unhideWhenUsed/>
    <w:rsid w:val="001468E3"/>
  </w:style>
  <w:style w:type="numbering" w:customStyle="1" w:styleId="Nessunelenco12">
    <w:name w:val="Nessun elenco12"/>
    <w:next w:val="Nessunelenco"/>
    <w:uiPriority w:val="99"/>
    <w:semiHidden/>
    <w:unhideWhenUsed/>
    <w:rsid w:val="001468E3"/>
  </w:style>
  <w:style w:type="numbering" w:customStyle="1" w:styleId="Nessunelenco21">
    <w:name w:val="Nessun elenco21"/>
    <w:next w:val="Nessunelenco"/>
    <w:uiPriority w:val="99"/>
    <w:semiHidden/>
    <w:unhideWhenUsed/>
    <w:rsid w:val="001468E3"/>
  </w:style>
  <w:style w:type="paragraph" w:customStyle="1" w:styleId="normal2">
    <w:name w:val="normal2"/>
    <w:basedOn w:val="Normale"/>
    <w:rsid w:val="001468E3"/>
    <w:pPr>
      <w:spacing w:before="120" w:line="312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1468E3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468E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46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468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1468E3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1468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1468E3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rsid w:val="001468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Pidipagina">
    <w:name w:val="footer"/>
    <w:basedOn w:val="Normale"/>
    <w:link w:val="PidipaginaCarattere"/>
    <w:rsid w:val="00146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Mappadocumento">
    <w:name w:val="Document Map"/>
    <w:basedOn w:val="Normale"/>
    <w:link w:val="MappadocumentoCarattere"/>
    <w:semiHidden/>
    <w:rsid w:val="001468E3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1468E3"/>
    <w:rPr>
      <w:rFonts w:ascii="Tahoma" w:eastAsia="Times New Roman" w:hAnsi="Tahoma" w:cs="Times New Roman"/>
      <w:sz w:val="22"/>
      <w:szCs w:val="20"/>
      <w:shd w:val="clear" w:color="auto" w:fill="000080"/>
    </w:rPr>
  </w:style>
  <w:style w:type="paragraph" w:styleId="Corpodeltesto">
    <w:name w:val="Body Text"/>
    <w:basedOn w:val="Normale"/>
    <w:link w:val="CorpodeltestoCarattere"/>
    <w:rsid w:val="001468E3"/>
    <w:rPr>
      <w:b/>
      <w:bCs/>
      <w:i/>
      <w:iCs/>
    </w:rPr>
  </w:style>
  <w:style w:type="character" w:customStyle="1" w:styleId="CorpodeltestoCarattere">
    <w:name w:val="Corpo del testo Carattere"/>
    <w:basedOn w:val="Caratterepredefinitoparagrafo"/>
    <w:link w:val="Corpodeltesto"/>
    <w:rsid w:val="001468E3"/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paragraph" w:styleId="Corpodeltesto2">
    <w:name w:val="Body Text 2"/>
    <w:basedOn w:val="Normale"/>
    <w:link w:val="Corpodeltesto2Carattere"/>
    <w:rsid w:val="001468E3"/>
  </w:style>
  <w:style w:type="character" w:customStyle="1" w:styleId="Corpodeltesto2Carattere">
    <w:name w:val="Corpo del testo 2 Carattere"/>
    <w:basedOn w:val="Caratterepredefinitoparagrafo"/>
    <w:link w:val="Corpodeltesto2"/>
    <w:rsid w:val="001468E3"/>
    <w:rPr>
      <w:rFonts w:ascii="Times New Roman" w:eastAsia="Times New Roman" w:hAnsi="Times New Roman" w:cs="Times New Roman"/>
      <w:sz w:val="22"/>
      <w:szCs w:val="20"/>
    </w:rPr>
  </w:style>
  <w:style w:type="paragraph" w:styleId="Corpodeltesto3">
    <w:name w:val="Body Text 3"/>
    <w:basedOn w:val="Normale"/>
    <w:link w:val="Corpodeltesto3Carattere"/>
    <w:rsid w:val="001468E3"/>
    <w:rPr>
      <w:i/>
      <w:iCs/>
    </w:rPr>
  </w:style>
  <w:style w:type="character" w:customStyle="1" w:styleId="Corpodeltesto3Carattere">
    <w:name w:val="Corpo del testo 3 Carattere"/>
    <w:basedOn w:val="Caratterepredefinitoparagrafo"/>
    <w:link w:val="Corpodeltesto3"/>
    <w:rsid w:val="001468E3"/>
    <w:rPr>
      <w:rFonts w:ascii="Times New Roman" w:eastAsia="Times New Roman" w:hAnsi="Times New Roman" w:cs="Times New Roman"/>
      <w:i/>
      <w:iCs/>
      <w:sz w:val="22"/>
      <w:szCs w:val="20"/>
    </w:rPr>
  </w:style>
  <w:style w:type="paragraph" w:styleId="Rientrocorpodeltesto2">
    <w:name w:val="Body Text Indent 2"/>
    <w:basedOn w:val="Normale"/>
    <w:link w:val="Rientrocorpodeltesto2Carattere"/>
    <w:rsid w:val="001468E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1468E3"/>
    <w:rPr>
      <w:rFonts w:ascii="Times New Roman" w:eastAsia="Times New Roman" w:hAnsi="Times New Roman" w:cs="Times New Roman"/>
      <w:sz w:val="22"/>
      <w:szCs w:val="20"/>
    </w:rPr>
  </w:style>
  <w:style w:type="paragraph" w:customStyle="1" w:styleId="Stile1">
    <w:name w:val="Stile1"/>
    <w:basedOn w:val="Normale"/>
    <w:autoRedefine/>
    <w:rsid w:val="001468E3"/>
    <w:pPr>
      <w:ind w:left="57" w:firstLine="709"/>
    </w:pPr>
  </w:style>
  <w:style w:type="paragraph" w:customStyle="1" w:styleId="Stile2">
    <w:name w:val="Stile2"/>
    <w:basedOn w:val="Normale"/>
    <w:autoRedefine/>
    <w:rsid w:val="001468E3"/>
    <w:pPr>
      <w:ind w:left="113" w:firstLine="709"/>
    </w:pPr>
  </w:style>
  <w:style w:type="paragraph" w:customStyle="1" w:styleId="Stile3">
    <w:name w:val="Stile3"/>
    <w:basedOn w:val="Testonotaapidipagina"/>
    <w:autoRedefine/>
    <w:rsid w:val="001468E3"/>
    <w:rPr>
      <w:bCs/>
      <w:iCs/>
      <w:szCs w:val="22"/>
    </w:rPr>
  </w:style>
  <w:style w:type="paragraph" w:styleId="Testonotaapidipagina">
    <w:name w:val="footnote text"/>
    <w:basedOn w:val="Normale"/>
    <w:link w:val="TestonotaapidipaginaCarattere"/>
    <w:autoRedefine/>
    <w:semiHidden/>
    <w:rsid w:val="001468E3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1468E3"/>
    <w:rPr>
      <w:rFonts w:ascii="Times New Roman" w:eastAsia="Times New Roman" w:hAnsi="Times New Roman" w:cs="Times New Roman"/>
      <w:sz w:val="20"/>
      <w:szCs w:val="20"/>
    </w:rPr>
  </w:style>
  <w:style w:type="paragraph" w:customStyle="1" w:styleId="Stile4">
    <w:name w:val="Stile4"/>
    <w:basedOn w:val="Testonotaapidipagina"/>
    <w:autoRedefine/>
    <w:rsid w:val="001468E3"/>
    <w:rPr>
      <w:rFonts w:eastAsia="SimSun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146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68E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68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Rientrocorpodeltesto">
    <w:name w:val="Body Text Indent"/>
    <w:basedOn w:val="Normale"/>
    <w:link w:val="RientrocorpodeltestoCarattere"/>
    <w:rsid w:val="001468E3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1468E3"/>
    <w:rPr>
      <w:rFonts w:ascii="Times New Roman" w:eastAsia="Times New Roman" w:hAnsi="Times New Roman" w:cs="Times New Roman"/>
    </w:rPr>
  </w:style>
  <w:style w:type="character" w:customStyle="1" w:styleId="normal1">
    <w:name w:val="normal1"/>
    <w:rsid w:val="001468E3"/>
  </w:style>
  <w:style w:type="paragraph" w:styleId="PreformattatoHTML">
    <w:name w:val="HTML Preformatted"/>
    <w:basedOn w:val="Normale"/>
    <w:link w:val="PreformattatoHTMLCarattere"/>
    <w:uiPriority w:val="99"/>
    <w:unhideWhenUsed/>
    <w:rsid w:val="0014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468E3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1468E3"/>
    <w:rPr>
      <w:b/>
      <w:bCs/>
    </w:rPr>
  </w:style>
  <w:style w:type="character" w:customStyle="1" w:styleId="riferimento">
    <w:name w:val="riferimento"/>
    <w:rsid w:val="001468E3"/>
  </w:style>
  <w:style w:type="character" w:styleId="Collegamentoipertestuale">
    <w:name w:val="Hyperlink"/>
    <w:uiPriority w:val="99"/>
    <w:rsid w:val="001468E3"/>
    <w:rPr>
      <w:color w:val="0000FF"/>
      <w:u w:val="single"/>
    </w:rPr>
  </w:style>
  <w:style w:type="character" w:styleId="Collegamentovisitato">
    <w:name w:val="FollowedHyperlink"/>
    <w:uiPriority w:val="99"/>
    <w:rsid w:val="001468E3"/>
    <w:rPr>
      <w:color w:val="800080"/>
      <w:u w:val="single"/>
    </w:rPr>
  </w:style>
  <w:style w:type="character" w:customStyle="1" w:styleId="riferimento2">
    <w:name w:val="riferimento2"/>
    <w:rsid w:val="001468E3"/>
    <w:rPr>
      <w:color w:val="4A970B"/>
    </w:rPr>
  </w:style>
  <w:style w:type="paragraph" w:customStyle="1" w:styleId="grassetto">
    <w:name w:val="grassetto"/>
    <w:basedOn w:val="Normale"/>
    <w:rsid w:val="001468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Enfasicorsivo">
    <w:name w:val="Emphasis"/>
    <w:uiPriority w:val="20"/>
    <w:qFormat/>
    <w:rsid w:val="001468E3"/>
    <w:rPr>
      <w:i/>
      <w:iCs/>
    </w:rPr>
  </w:style>
  <w:style w:type="character" w:customStyle="1" w:styleId="PreformattatoHTMLCarattere1">
    <w:name w:val="Preformattato HTML Carattere1"/>
    <w:uiPriority w:val="99"/>
    <w:semiHidden/>
    <w:rsid w:val="001468E3"/>
    <w:rPr>
      <w:rFonts w:ascii="Consolas" w:hAnsi="Consolas" w:cs="Consolas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468E3"/>
  </w:style>
  <w:style w:type="numbering" w:customStyle="1" w:styleId="Nessunelenco11">
    <w:name w:val="Nessun elenco11"/>
    <w:next w:val="Nessunelenco"/>
    <w:uiPriority w:val="99"/>
    <w:semiHidden/>
    <w:unhideWhenUsed/>
    <w:rsid w:val="001468E3"/>
  </w:style>
  <w:style w:type="paragraph" w:styleId="NormaleWeb">
    <w:name w:val="Normal (Web)"/>
    <w:basedOn w:val="Normale"/>
    <w:uiPriority w:val="99"/>
    <w:unhideWhenUsed/>
    <w:rsid w:val="001468E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dentro">
    <w:name w:val="dentro"/>
    <w:rsid w:val="001468E3"/>
  </w:style>
  <w:style w:type="numbering" w:customStyle="1" w:styleId="Nessunelenco2">
    <w:name w:val="Nessun elenco2"/>
    <w:next w:val="Nessunelenco"/>
    <w:uiPriority w:val="99"/>
    <w:semiHidden/>
    <w:unhideWhenUsed/>
    <w:rsid w:val="001468E3"/>
  </w:style>
  <w:style w:type="numbering" w:customStyle="1" w:styleId="Nessunelenco12">
    <w:name w:val="Nessun elenco12"/>
    <w:next w:val="Nessunelenco"/>
    <w:uiPriority w:val="99"/>
    <w:semiHidden/>
    <w:unhideWhenUsed/>
    <w:rsid w:val="001468E3"/>
  </w:style>
  <w:style w:type="numbering" w:customStyle="1" w:styleId="Nessunelenco21">
    <w:name w:val="Nessun elenco21"/>
    <w:next w:val="Nessunelenco"/>
    <w:uiPriority w:val="99"/>
    <w:semiHidden/>
    <w:unhideWhenUsed/>
    <w:rsid w:val="001468E3"/>
  </w:style>
  <w:style w:type="paragraph" w:customStyle="1" w:styleId="normal2">
    <w:name w:val="normal2"/>
    <w:basedOn w:val="Normale"/>
    <w:rsid w:val="001468E3"/>
    <w:pPr>
      <w:spacing w:before="120" w:line="312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azzettaufficiale.it/atto/serie_generale/caricaDettaglioAtto/originario?atto.dataPubblicazioneGazzetta=2016-09-06&amp;atto.codiceRedazionale=16G00184&amp;elenco30giorni=false" TargetMode="External"/><Relationship Id="rId10" Type="http://schemas.openxmlformats.org/officeDocument/2006/relationships/hyperlink" Target="http://www.tuttoambie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2239</Words>
  <Characters>12764</Characters>
  <Application>Microsoft Macintosh Word</Application>
  <DocSecurity>0</DocSecurity>
  <Lines>106</Lines>
  <Paragraphs>29</Paragraphs>
  <ScaleCrop>false</ScaleCrop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BETTINESCHI</dc:creator>
  <cp:keywords/>
  <dc:description/>
  <cp:lastModifiedBy>SILVIA BETTINESCHI</cp:lastModifiedBy>
  <cp:revision>5</cp:revision>
  <dcterms:created xsi:type="dcterms:W3CDTF">2017-04-23T08:29:00Z</dcterms:created>
  <dcterms:modified xsi:type="dcterms:W3CDTF">2017-04-23T08:36:00Z</dcterms:modified>
</cp:coreProperties>
</file>